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85"/>
        <w:gridCol w:w="432"/>
        <w:gridCol w:w="4530"/>
      </w:tblGrid>
      <w:tr w:rsidR="005257C9" w:rsidRPr="00B45877" w14:paraId="207BB6EC" w14:textId="77777777" w:rsidTr="00CA41ED">
        <w:trPr>
          <w:trHeight w:val="397"/>
        </w:trPr>
        <w:tc>
          <w:tcPr>
            <w:tcW w:w="10627" w:type="dxa"/>
            <w:gridSpan w:val="4"/>
            <w:tcBorders>
              <w:bottom w:val="single" w:sz="4" w:space="0" w:color="auto"/>
            </w:tcBorders>
            <w:shd w:val="clear" w:color="auto" w:fill="BFBFBF" w:themeFill="background1" w:themeFillShade="BF"/>
            <w:vAlign w:val="center"/>
          </w:tcPr>
          <w:p w14:paraId="2CA71274" w14:textId="28BFF6C4" w:rsidR="005257C9" w:rsidRPr="00D74526" w:rsidRDefault="005257C9" w:rsidP="00B45877">
            <w:pPr>
              <w:spacing w:after="0" w:line="240" w:lineRule="auto"/>
              <w:rPr>
                <w:rFonts w:eastAsia="Times New Roman" w:cstheme="minorHAnsi"/>
                <w:b/>
                <w:bCs/>
                <w:sz w:val="28"/>
                <w:szCs w:val="28"/>
              </w:rPr>
            </w:pPr>
            <w:r w:rsidRPr="00D74526">
              <w:rPr>
                <w:rFonts w:eastAsia="Times New Roman" w:cstheme="minorHAnsi"/>
                <w:b/>
                <w:bCs/>
                <w:sz w:val="28"/>
                <w:szCs w:val="28"/>
              </w:rPr>
              <w:t>Contact Details</w:t>
            </w:r>
            <w:r w:rsidR="00CA41ED" w:rsidRPr="00D74526">
              <w:rPr>
                <w:rFonts w:eastAsia="Times New Roman" w:cstheme="minorHAnsi"/>
                <w:b/>
                <w:bCs/>
                <w:sz w:val="28"/>
                <w:szCs w:val="28"/>
              </w:rPr>
              <w:t>:</w:t>
            </w:r>
            <w:r w:rsidRPr="00D74526">
              <w:rPr>
                <w:rFonts w:eastAsia="Times New Roman" w:cstheme="minorHAnsi"/>
                <w:b/>
                <w:bCs/>
                <w:sz w:val="28"/>
                <w:szCs w:val="28"/>
              </w:rPr>
              <w:tab/>
            </w:r>
          </w:p>
        </w:tc>
      </w:tr>
      <w:tr w:rsidR="00B45877" w:rsidRPr="00B45877" w14:paraId="4B56F046" w14:textId="77777777" w:rsidTr="00D65005">
        <w:trPr>
          <w:trHeight w:val="397"/>
        </w:trPr>
        <w:tc>
          <w:tcPr>
            <w:tcW w:w="10627" w:type="dxa"/>
            <w:gridSpan w:val="4"/>
            <w:tcBorders>
              <w:bottom w:val="single" w:sz="4" w:space="0" w:color="auto"/>
            </w:tcBorders>
            <w:vAlign w:val="center"/>
          </w:tcPr>
          <w:p w14:paraId="41D2B42D" w14:textId="676A74B9" w:rsidR="00B45877" w:rsidRPr="00CA41ED" w:rsidRDefault="00B45877" w:rsidP="00B45877">
            <w:pPr>
              <w:spacing w:after="0" w:line="240" w:lineRule="auto"/>
              <w:rPr>
                <w:rFonts w:eastAsia="Times New Roman" w:cstheme="minorHAnsi"/>
                <w:b/>
                <w:bCs/>
                <w:sz w:val="24"/>
                <w:szCs w:val="24"/>
              </w:rPr>
            </w:pPr>
            <w:r w:rsidRPr="00CA41ED">
              <w:rPr>
                <w:rFonts w:eastAsia="Times New Roman" w:cstheme="minorHAnsi"/>
                <w:b/>
                <w:bCs/>
                <w:sz w:val="24"/>
                <w:szCs w:val="24"/>
              </w:rPr>
              <w:t xml:space="preserve">Group Name </w:t>
            </w:r>
            <w:r w:rsidR="00CA41ED" w:rsidRPr="00CA41ED">
              <w:rPr>
                <w:rFonts w:eastAsia="Times New Roman" w:cstheme="minorHAnsi"/>
                <w:b/>
                <w:bCs/>
                <w:sz w:val="24"/>
                <w:szCs w:val="24"/>
              </w:rPr>
              <w:t>:</w:t>
            </w:r>
            <w:r w:rsidRPr="00CA41ED">
              <w:rPr>
                <w:rFonts w:eastAsia="Times New Roman" w:cstheme="minorHAnsi"/>
                <w:b/>
                <w:bCs/>
                <w:sz w:val="24"/>
                <w:szCs w:val="24"/>
              </w:rPr>
              <w:t xml:space="preserve"> </w:t>
            </w:r>
          </w:p>
        </w:tc>
      </w:tr>
      <w:tr w:rsidR="00B45877" w:rsidRPr="00B45877" w14:paraId="4F6439F2" w14:textId="77777777" w:rsidTr="00D65005">
        <w:trPr>
          <w:trHeight w:val="397"/>
        </w:trPr>
        <w:tc>
          <w:tcPr>
            <w:tcW w:w="10627" w:type="dxa"/>
            <w:gridSpan w:val="4"/>
            <w:tcBorders>
              <w:bottom w:val="single" w:sz="4" w:space="0" w:color="auto"/>
            </w:tcBorders>
            <w:vAlign w:val="center"/>
          </w:tcPr>
          <w:p w14:paraId="614C83AC" w14:textId="3F606EE5"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Contact Name</w:t>
            </w:r>
            <w:r w:rsidR="00CA41ED">
              <w:rPr>
                <w:rFonts w:eastAsia="Times New Roman" w:cstheme="minorHAnsi"/>
                <w:b/>
                <w:bCs/>
                <w:sz w:val="24"/>
                <w:szCs w:val="24"/>
              </w:rPr>
              <w:t>:</w:t>
            </w:r>
            <w:r w:rsidRPr="00B45877">
              <w:rPr>
                <w:rFonts w:eastAsia="Times New Roman" w:cstheme="minorHAnsi"/>
                <w:b/>
                <w:bCs/>
                <w:sz w:val="24"/>
                <w:szCs w:val="24"/>
              </w:rPr>
              <w:t xml:space="preserve">   </w:t>
            </w:r>
          </w:p>
        </w:tc>
      </w:tr>
      <w:tr w:rsidR="00B45877" w:rsidRPr="00B45877" w14:paraId="07455061" w14:textId="77777777" w:rsidTr="00D65005">
        <w:trPr>
          <w:trHeight w:val="410"/>
        </w:trPr>
        <w:tc>
          <w:tcPr>
            <w:tcW w:w="5665" w:type="dxa"/>
            <w:gridSpan w:val="2"/>
            <w:tcBorders>
              <w:top w:val="single" w:sz="4" w:space="0" w:color="auto"/>
              <w:bottom w:val="nil"/>
            </w:tcBorders>
            <w:vAlign w:val="bottom"/>
          </w:tcPr>
          <w:p w14:paraId="530FD84C"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 xml:space="preserve">Address   </w:t>
            </w:r>
          </w:p>
          <w:p w14:paraId="21E9BE38" w14:textId="77777777" w:rsidR="00B45877" w:rsidRPr="00B45877" w:rsidRDefault="00B45877" w:rsidP="00B45877">
            <w:pPr>
              <w:spacing w:after="0" w:line="240" w:lineRule="auto"/>
              <w:rPr>
                <w:rFonts w:eastAsia="Times New Roman" w:cstheme="minorHAnsi"/>
                <w:sz w:val="24"/>
                <w:szCs w:val="24"/>
              </w:rPr>
            </w:pPr>
          </w:p>
        </w:tc>
        <w:tc>
          <w:tcPr>
            <w:tcW w:w="4962" w:type="dxa"/>
            <w:gridSpan w:val="2"/>
            <w:tcBorders>
              <w:top w:val="single" w:sz="4" w:space="0" w:color="auto"/>
              <w:bottom w:val="single" w:sz="4" w:space="0" w:color="auto"/>
            </w:tcBorders>
          </w:tcPr>
          <w:p w14:paraId="1F331F52"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Day time Tel N</w:t>
            </w:r>
            <w:r w:rsidRPr="00B45877">
              <w:rPr>
                <w:rFonts w:eastAsia="Times New Roman" w:cstheme="minorHAnsi"/>
                <w:b/>
                <w:bCs/>
                <w:sz w:val="24"/>
                <w:szCs w:val="24"/>
                <w:vertAlign w:val="superscript"/>
              </w:rPr>
              <w:t xml:space="preserve">o </w:t>
            </w:r>
          </w:p>
        </w:tc>
      </w:tr>
      <w:tr w:rsidR="00B45877" w:rsidRPr="00B45877" w14:paraId="178F0717" w14:textId="77777777" w:rsidTr="00D65005">
        <w:trPr>
          <w:trHeight w:val="410"/>
        </w:trPr>
        <w:tc>
          <w:tcPr>
            <w:tcW w:w="5665" w:type="dxa"/>
            <w:gridSpan w:val="2"/>
            <w:tcBorders>
              <w:top w:val="nil"/>
              <w:bottom w:val="nil"/>
            </w:tcBorders>
            <w:vAlign w:val="bottom"/>
          </w:tcPr>
          <w:p w14:paraId="084E028D" w14:textId="77777777" w:rsidR="00B45877" w:rsidRPr="00B45877" w:rsidRDefault="00B45877" w:rsidP="00B45877">
            <w:pPr>
              <w:spacing w:after="0" w:line="240" w:lineRule="auto"/>
              <w:rPr>
                <w:rFonts w:eastAsia="Times New Roman" w:cstheme="minorHAnsi"/>
                <w:sz w:val="24"/>
                <w:szCs w:val="24"/>
              </w:rPr>
            </w:pPr>
          </w:p>
        </w:tc>
        <w:tc>
          <w:tcPr>
            <w:tcW w:w="4962" w:type="dxa"/>
            <w:gridSpan w:val="2"/>
            <w:tcBorders>
              <w:top w:val="single" w:sz="4" w:space="0" w:color="auto"/>
              <w:bottom w:val="single" w:sz="4" w:space="0" w:color="auto"/>
            </w:tcBorders>
          </w:tcPr>
          <w:p w14:paraId="7919D964" w14:textId="77777777" w:rsidR="00B45877" w:rsidRPr="005257C9" w:rsidRDefault="00B45877" w:rsidP="00B45877">
            <w:pPr>
              <w:spacing w:after="0" w:line="240" w:lineRule="auto"/>
              <w:rPr>
                <w:rFonts w:eastAsia="Times New Roman" w:cstheme="minorHAnsi"/>
                <w:b/>
                <w:bCs/>
                <w:sz w:val="24"/>
                <w:szCs w:val="24"/>
                <w:vertAlign w:val="superscript"/>
              </w:rPr>
            </w:pPr>
            <w:r w:rsidRPr="00B45877">
              <w:rPr>
                <w:rFonts w:eastAsia="Times New Roman" w:cstheme="minorHAnsi"/>
                <w:b/>
                <w:bCs/>
                <w:sz w:val="24"/>
                <w:szCs w:val="24"/>
              </w:rPr>
              <w:t>Mobile Tel N</w:t>
            </w:r>
            <w:r w:rsidRPr="00B45877">
              <w:rPr>
                <w:rFonts w:eastAsia="Times New Roman" w:cstheme="minorHAnsi"/>
                <w:b/>
                <w:bCs/>
                <w:sz w:val="24"/>
                <w:szCs w:val="24"/>
                <w:vertAlign w:val="superscript"/>
              </w:rPr>
              <w:t>o</w:t>
            </w:r>
          </w:p>
          <w:p w14:paraId="33C494D9" w14:textId="35041802" w:rsidR="005257C9" w:rsidRPr="00B45877" w:rsidRDefault="005257C9" w:rsidP="00B45877">
            <w:pPr>
              <w:spacing w:after="0" w:line="240" w:lineRule="auto"/>
              <w:rPr>
                <w:rFonts w:eastAsia="Times New Roman" w:cstheme="minorHAnsi"/>
                <w:sz w:val="24"/>
                <w:szCs w:val="24"/>
              </w:rPr>
            </w:pPr>
          </w:p>
        </w:tc>
      </w:tr>
      <w:tr w:rsidR="00B45877" w:rsidRPr="00B45877" w14:paraId="292318E8" w14:textId="77777777" w:rsidTr="00D65005">
        <w:trPr>
          <w:cantSplit/>
          <w:trHeight w:val="397"/>
        </w:trPr>
        <w:tc>
          <w:tcPr>
            <w:tcW w:w="10627" w:type="dxa"/>
            <w:gridSpan w:val="4"/>
            <w:tcBorders>
              <w:top w:val="nil"/>
              <w:bottom w:val="single" w:sz="4" w:space="0" w:color="auto"/>
            </w:tcBorders>
            <w:vAlign w:val="bottom"/>
          </w:tcPr>
          <w:p w14:paraId="650FC5C6"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Postcode</w:t>
            </w:r>
          </w:p>
        </w:tc>
      </w:tr>
      <w:tr w:rsidR="00B45877" w:rsidRPr="00B45877" w14:paraId="27013880" w14:textId="77777777" w:rsidTr="00D65005">
        <w:trPr>
          <w:cantSplit/>
          <w:trHeight w:val="397"/>
        </w:trPr>
        <w:tc>
          <w:tcPr>
            <w:tcW w:w="10627" w:type="dxa"/>
            <w:gridSpan w:val="4"/>
            <w:tcBorders>
              <w:top w:val="single" w:sz="4" w:space="0" w:color="auto"/>
              <w:bottom w:val="single" w:sz="4" w:space="0" w:color="auto"/>
            </w:tcBorders>
            <w:vAlign w:val="center"/>
          </w:tcPr>
          <w:p w14:paraId="427F4184" w14:textId="77777777" w:rsidR="00B45877" w:rsidRPr="00B45877" w:rsidRDefault="00B45877" w:rsidP="00B45877">
            <w:pPr>
              <w:spacing w:after="0" w:line="240" w:lineRule="auto"/>
              <w:rPr>
                <w:rFonts w:eastAsia="Times New Roman" w:cstheme="minorHAnsi"/>
                <w:b/>
                <w:bCs/>
                <w:sz w:val="24"/>
                <w:szCs w:val="24"/>
              </w:rPr>
            </w:pPr>
            <w:r w:rsidRPr="00B45877">
              <w:rPr>
                <w:rFonts w:eastAsia="Times New Roman" w:cstheme="minorHAnsi"/>
                <w:b/>
                <w:bCs/>
                <w:sz w:val="24"/>
                <w:szCs w:val="24"/>
              </w:rPr>
              <w:t>Email</w:t>
            </w:r>
          </w:p>
        </w:tc>
      </w:tr>
      <w:tr w:rsidR="005257C9" w:rsidRPr="00B45877" w14:paraId="5A0BAD08" w14:textId="77777777" w:rsidTr="00CA41ED">
        <w:trPr>
          <w:trHeight w:val="397"/>
        </w:trPr>
        <w:tc>
          <w:tcPr>
            <w:tcW w:w="10627" w:type="dxa"/>
            <w:gridSpan w:val="4"/>
            <w:shd w:val="clear" w:color="auto" w:fill="BFBFBF" w:themeFill="background1" w:themeFillShade="BF"/>
            <w:vAlign w:val="bottom"/>
          </w:tcPr>
          <w:p w14:paraId="0ED9F153" w14:textId="4691A33F" w:rsidR="005257C9" w:rsidRPr="005257C9" w:rsidRDefault="005257C9" w:rsidP="00B45877">
            <w:pPr>
              <w:spacing w:after="0" w:line="240" w:lineRule="auto"/>
              <w:rPr>
                <w:rFonts w:eastAsia="Times New Roman" w:cstheme="minorHAnsi"/>
                <w:color w:val="FFFFFF" w:themeColor="background1"/>
                <w:sz w:val="24"/>
                <w:szCs w:val="24"/>
              </w:rPr>
            </w:pPr>
            <w:r w:rsidRPr="00CA41ED">
              <w:rPr>
                <w:rFonts w:eastAsia="Times New Roman" w:cstheme="minorHAnsi"/>
                <w:b/>
                <w:bCs/>
                <w:sz w:val="28"/>
                <w:szCs w:val="28"/>
              </w:rPr>
              <w:t>Visit Details</w:t>
            </w:r>
          </w:p>
        </w:tc>
      </w:tr>
      <w:tr w:rsidR="00B45877" w:rsidRPr="00B45877" w14:paraId="4807CC02" w14:textId="77777777" w:rsidTr="00D65005">
        <w:trPr>
          <w:trHeight w:val="397"/>
        </w:trPr>
        <w:tc>
          <w:tcPr>
            <w:tcW w:w="1980" w:type="dxa"/>
            <w:vAlign w:val="bottom"/>
          </w:tcPr>
          <w:p w14:paraId="595D5825" w14:textId="77777777" w:rsidR="00B45877" w:rsidRPr="00CA41ED" w:rsidRDefault="00B45877" w:rsidP="00B45877">
            <w:pPr>
              <w:spacing w:after="0" w:line="240" w:lineRule="auto"/>
              <w:rPr>
                <w:rFonts w:eastAsia="Times New Roman" w:cstheme="minorHAnsi"/>
                <w:sz w:val="24"/>
                <w:szCs w:val="24"/>
              </w:rPr>
            </w:pPr>
            <w:r w:rsidRPr="00CA41ED">
              <w:rPr>
                <w:rFonts w:eastAsia="Times New Roman" w:cstheme="minorHAnsi"/>
                <w:sz w:val="24"/>
                <w:szCs w:val="24"/>
              </w:rPr>
              <w:t xml:space="preserve">Arrival Day </w:t>
            </w:r>
          </w:p>
        </w:tc>
        <w:tc>
          <w:tcPr>
            <w:tcW w:w="4117" w:type="dxa"/>
            <w:gridSpan w:val="2"/>
            <w:vAlign w:val="bottom"/>
          </w:tcPr>
          <w:p w14:paraId="6D0B7388" w14:textId="77777777" w:rsidR="00B45877" w:rsidRPr="00B45877" w:rsidRDefault="00B45877" w:rsidP="00B45877">
            <w:pPr>
              <w:spacing w:after="0" w:line="240" w:lineRule="auto"/>
              <w:rPr>
                <w:rFonts w:eastAsia="Times New Roman" w:cstheme="minorHAnsi"/>
                <w:sz w:val="24"/>
                <w:szCs w:val="24"/>
              </w:rPr>
            </w:pPr>
            <w:r w:rsidRPr="00B45877">
              <w:rPr>
                <w:rFonts w:eastAsia="Times New Roman" w:cstheme="minorHAnsi"/>
                <w:sz w:val="24"/>
                <w:szCs w:val="24"/>
              </w:rPr>
              <w:t xml:space="preserve">Date   </w:t>
            </w:r>
          </w:p>
        </w:tc>
        <w:tc>
          <w:tcPr>
            <w:tcW w:w="4530" w:type="dxa"/>
            <w:vAlign w:val="bottom"/>
          </w:tcPr>
          <w:p w14:paraId="6B5C1E6A" w14:textId="77777777" w:rsidR="00B45877" w:rsidRPr="00B45877" w:rsidRDefault="00B45877" w:rsidP="00B45877">
            <w:pPr>
              <w:spacing w:after="0" w:line="240" w:lineRule="auto"/>
              <w:rPr>
                <w:rFonts w:eastAsia="Times New Roman" w:cstheme="minorHAnsi"/>
                <w:sz w:val="24"/>
                <w:szCs w:val="24"/>
              </w:rPr>
            </w:pPr>
            <w:r w:rsidRPr="00B45877">
              <w:rPr>
                <w:rFonts w:eastAsia="Times New Roman" w:cstheme="minorHAnsi"/>
                <w:sz w:val="24"/>
                <w:szCs w:val="24"/>
              </w:rPr>
              <w:t xml:space="preserve">Time  </w:t>
            </w:r>
          </w:p>
        </w:tc>
      </w:tr>
      <w:tr w:rsidR="00B45877" w:rsidRPr="00B45877" w14:paraId="39277977" w14:textId="77777777" w:rsidTr="00D65005">
        <w:trPr>
          <w:trHeight w:val="397"/>
        </w:trPr>
        <w:tc>
          <w:tcPr>
            <w:tcW w:w="1980" w:type="dxa"/>
            <w:vAlign w:val="bottom"/>
          </w:tcPr>
          <w:p w14:paraId="6E2A3A2C" w14:textId="77777777" w:rsidR="00B45877" w:rsidRPr="00CA41ED" w:rsidRDefault="00B45877" w:rsidP="00B45877">
            <w:pPr>
              <w:spacing w:after="0" w:line="240" w:lineRule="auto"/>
              <w:rPr>
                <w:rFonts w:eastAsia="Times New Roman" w:cstheme="minorHAnsi"/>
                <w:sz w:val="24"/>
                <w:szCs w:val="24"/>
              </w:rPr>
            </w:pPr>
            <w:r w:rsidRPr="00CA41ED">
              <w:rPr>
                <w:rFonts w:eastAsia="Times New Roman" w:cstheme="minorHAnsi"/>
                <w:sz w:val="24"/>
                <w:szCs w:val="24"/>
              </w:rPr>
              <w:t xml:space="preserve">Departure Day </w:t>
            </w:r>
          </w:p>
        </w:tc>
        <w:tc>
          <w:tcPr>
            <w:tcW w:w="4117" w:type="dxa"/>
            <w:gridSpan w:val="2"/>
            <w:vAlign w:val="bottom"/>
          </w:tcPr>
          <w:p w14:paraId="650694D5" w14:textId="77777777" w:rsidR="00B45877" w:rsidRPr="00B45877" w:rsidRDefault="00B45877" w:rsidP="00B45877">
            <w:pPr>
              <w:spacing w:after="0" w:line="240" w:lineRule="auto"/>
              <w:rPr>
                <w:rFonts w:eastAsia="Times New Roman" w:cstheme="minorHAnsi"/>
                <w:sz w:val="24"/>
                <w:szCs w:val="24"/>
              </w:rPr>
            </w:pPr>
            <w:r w:rsidRPr="00B45877">
              <w:rPr>
                <w:rFonts w:eastAsia="Times New Roman" w:cstheme="minorHAnsi"/>
                <w:sz w:val="24"/>
                <w:szCs w:val="24"/>
              </w:rPr>
              <w:t xml:space="preserve">Date  </w:t>
            </w:r>
          </w:p>
        </w:tc>
        <w:tc>
          <w:tcPr>
            <w:tcW w:w="4530" w:type="dxa"/>
            <w:vAlign w:val="bottom"/>
          </w:tcPr>
          <w:p w14:paraId="48888A1E" w14:textId="77777777" w:rsidR="00B45877" w:rsidRPr="00B45877" w:rsidRDefault="00B45877" w:rsidP="00B45877">
            <w:pPr>
              <w:spacing w:after="0" w:line="240" w:lineRule="auto"/>
              <w:rPr>
                <w:rFonts w:eastAsia="Times New Roman" w:cstheme="minorHAnsi"/>
                <w:sz w:val="24"/>
                <w:szCs w:val="24"/>
              </w:rPr>
            </w:pPr>
            <w:r w:rsidRPr="00B45877">
              <w:rPr>
                <w:rFonts w:eastAsia="Times New Roman" w:cstheme="minorHAnsi"/>
                <w:sz w:val="24"/>
                <w:szCs w:val="24"/>
              </w:rPr>
              <w:t xml:space="preserve">Time  </w:t>
            </w:r>
          </w:p>
        </w:tc>
      </w:tr>
    </w:tbl>
    <w:tbl>
      <w:tblPr>
        <w:tblStyle w:val="TableGrid"/>
        <w:tblW w:w="10627" w:type="dxa"/>
        <w:tblLook w:val="04A0" w:firstRow="1" w:lastRow="0" w:firstColumn="1" w:lastColumn="0" w:noHBand="0" w:noVBand="1"/>
      </w:tblPr>
      <w:tblGrid>
        <w:gridCol w:w="2268"/>
        <w:gridCol w:w="840"/>
        <w:gridCol w:w="1395"/>
        <w:gridCol w:w="885"/>
        <w:gridCol w:w="249"/>
        <w:gridCol w:w="711"/>
        <w:gridCol w:w="3145"/>
        <w:gridCol w:w="1134"/>
      </w:tblGrid>
      <w:tr w:rsidR="005257C9" w:rsidRPr="00B45877" w14:paraId="6C1D6A18" w14:textId="77777777" w:rsidTr="00CA41ED">
        <w:tc>
          <w:tcPr>
            <w:tcW w:w="10627" w:type="dxa"/>
            <w:gridSpan w:val="8"/>
            <w:shd w:val="clear" w:color="auto" w:fill="BFBFBF" w:themeFill="background1" w:themeFillShade="BF"/>
          </w:tcPr>
          <w:p w14:paraId="781581B1" w14:textId="77777777" w:rsidR="005257C9" w:rsidRPr="005257C9" w:rsidRDefault="005257C9" w:rsidP="003719F1">
            <w:pPr>
              <w:keepNext/>
              <w:outlineLvl w:val="2"/>
              <w:rPr>
                <w:rFonts w:eastAsia="Times New Roman" w:cstheme="minorHAnsi"/>
                <w:b/>
                <w:bCs/>
                <w:sz w:val="28"/>
                <w:szCs w:val="28"/>
              </w:rPr>
            </w:pPr>
            <w:r w:rsidRPr="00CA41ED">
              <w:rPr>
                <w:rFonts w:eastAsia="Times New Roman" w:cstheme="minorHAnsi"/>
                <w:b/>
                <w:bCs/>
                <w:sz w:val="28"/>
                <w:szCs w:val="28"/>
              </w:rPr>
              <w:t>Accommodation Details</w:t>
            </w:r>
          </w:p>
        </w:tc>
      </w:tr>
      <w:tr w:rsidR="009B5DC4" w:rsidRPr="00B45877" w14:paraId="0E8BE6E2" w14:textId="77777777" w:rsidTr="00D65005">
        <w:trPr>
          <w:trHeight w:val="397"/>
        </w:trPr>
        <w:tc>
          <w:tcPr>
            <w:tcW w:w="2268" w:type="dxa"/>
          </w:tcPr>
          <w:p w14:paraId="198BF5D9"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No of Adults</w:t>
            </w:r>
          </w:p>
        </w:tc>
        <w:tc>
          <w:tcPr>
            <w:tcW w:w="840" w:type="dxa"/>
          </w:tcPr>
          <w:p w14:paraId="296340BA" w14:textId="77777777" w:rsidR="009B5DC4" w:rsidRPr="00B45877" w:rsidRDefault="009B5DC4" w:rsidP="00B45877">
            <w:pPr>
              <w:rPr>
                <w:rFonts w:eastAsia="Times New Roman" w:cstheme="minorHAnsi"/>
                <w:sz w:val="24"/>
                <w:szCs w:val="24"/>
              </w:rPr>
            </w:pPr>
          </w:p>
        </w:tc>
        <w:tc>
          <w:tcPr>
            <w:tcW w:w="2280" w:type="dxa"/>
            <w:gridSpan w:val="2"/>
          </w:tcPr>
          <w:p w14:paraId="5FB6F091"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 xml:space="preserve">No of 4-6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p>
        </w:tc>
        <w:tc>
          <w:tcPr>
            <w:tcW w:w="960" w:type="dxa"/>
            <w:gridSpan w:val="2"/>
          </w:tcPr>
          <w:p w14:paraId="0837D215" w14:textId="77777777" w:rsidR="009B5DC4" w:rsidRPr="00B45877" w:rsidRDefault="009B5DC4" w:rsidP="00B45877">
            <w:pPr>
              <w:rPr>
                <w:rFonts w:eastAsia="Times New Roman" w:cstheme="minorHAnsi"/>
                <w:sz w:val="24"/>
                <w:szCs w:val="24"/>
              </w:rPr>
            </w:pPr>
          </w:p>
        </w:tc>
        <w:tc>
          <w:tcPr>
            <w:tcW w:w="3145" w:type="dxa"/>
          </w:tcPr>
          <w:p w14:paraId="4F3082BA" w14:textId="77777777" w:rsidR="009B5DC4" w:rsidRPr="00B45877" w:rsidRDefault="009B5DC4" w:rsidP="009B5DC4">
            <w:pPr>
              <w:tabs>
                <w:tab w:val="left" w:pos="2475"/>
              </w:tabs>
              <w:rPr>
                <w:rFonts w:eastAsia="Times New Roman" w:cstheme="minorHAnsi"/>
                <w:sz w:val="24"/>
                <w:szCs w:val="24"/>
              </w:rPr>
            </w:pPr>
            <w:r w:rsidRPr="00B45877">
              <w:rPr>
                <w:rFonts w:eastAsia="Times New Roman" w:cstheme="minorHAnsi"/>
                <w:sz w:val="24"/>
                <w:szCs w:val="24"/>
              </w:rPr>
              <w:t xml:space="preserve">No of 7-11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r>
              <w:rPr>
                <w:rFonts w:eastAsia="Times New Roman" w:cstheme="minorHAnsi"/>
                <w:sz w:val="24"/>
                <w:szCs w:val="24"/>
              </w:rPr>
              <w:tab/>
            </w:r>
          </w:p>
        </w:tc>
        <w:tc>
          <w:tcPr>
            <w:tcW w:w="1134" w:type="dxa"/>
          </w:tcPr>
          <w:p w14:paraId="60831637" w14:textId="5ED93E1B" w:rsidR="009B5DC4" w:rsidRPr="00B45877" w:rsidRDefault="009B5DC4" w:rsidP="009B5DC4">
            <w:pPr>
              <w:tabs>
                <w:tab w:val="left" w:pos="2475"/>
              </w:tabs>
              <w:rPr>
                <w:rFonts w:eastAsia="Times New Roman" w:cstheme="minorHAnsi"/>
                <w:sz w:val="24"/>
                <w:szCs w:val="24"/>
              </w:rPr>
            </w:pPr>
          </w:p>
        </w:tc>
      </w:tr>
      <w:tr w:rsidR="009B5DC4" w:rsidRPr="00B45877" w14:paraId="6CBA1F16" w14:textId="77777777" w:rsidTr="00D65005">
        <w:trPr>
          <w:trHeight w:val="397"/>
        </w:trPr>
        <w:tc>
          <w:tcPr>
            <w:tcW w:w="2268" w:type="dxa"/>
          </w:tcPr>
          <w:p w14:paraId="28252041"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 xml:space="preserve">No of 12-14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p>
        </w:tc>
        <w:tc>
          <w:tcPr>
            <w:tcW w:w="840" w:type="dxa"/>
          </w:tcPr>
          <w:p w14:paraId="33532146" w14:textId="77777777" w:rsidR="009B5DC4" w:rsidRPr="00B45877" w:rsidRDefault="009B5DC4" w:rsidP="00B45877">
            <w:pPr>
              <w:rPr>
                <w:rFonts w:eastAsia="Times New Roman" w:cstheme="minorHAnsi"/>
                <w:sz w:val="24"/>
                <w:szCs w:val="24"/>
              </w:rPr>
            </w:pPr>
          </w:p>
        </w:tc>
        <w:tc>
          <w:tcPr>
            <w:tcW w:w="2280" w:type="dxa"/>
            <w:gridSpan w:val="2"/>
          </w:tcPr>
          <w:p w14:paraId="17305519" w14:textId="77777777" w:rsidR="009B5DC4" w:rsidRPr="00B45877" w:rsidRDefault="009B5DC4" w:rsidP="00B45877">
            <w:pPr>
              <w:rPr>
                <w:rFonts w:eastAsia="Times New Roman" w:cstheme="minorHAnsi"/>
                <w:sz w:val="24"/>
                <w:szCs w:val="24"/>
              </w:rPr>
            </w:pPr>
            <w:r w:rsidRPr="00B45877">
              <w:rPr>
                <w:rFonts w:eastAsia="Times New Roman" w:cstheme="minorHAnsi"/>
                <w:sz w:val="24"/>
                <w:szCs w:val="24"/>
              </w:rPr>
              <w:t xml:space="preserve">No of 15-18 </w:t>
            </w:r>
            <w:proofErr w:type="spellStart"/>
            <w:r w:rsidRPr="00B45877">
              <w:rPr>
                <w:rFonts w:eastAsia="Times New Roman" w:cstheme="minorHAnsi"/>
                <w:sz w:val="24"/>
                <w:szCs w:val="24"/>
              </w:rPr>
              <w:t>yr</w:t>
            </w:r>
            <w:proofErr w:type="spellEnd"/>
            <w:r w:rsidRPr="00B45877">
              <w:rPr>
                <w:rFonts w:eastAsia="Times New Roman" w:cstheme="minorHAnsi"/>
                <w:sz w:val="24"/>
                <w:szCs w:val="24"/>
              </w:rPr>
              <w:t xml:space="preserve"> olds</w:t>
            </w:r>
          </w:p>
        </w:tc>
        <w:tc>
          <w:tcPr>
            <w:tcW w:w="960" w:type="dxa"/>
            <w:gridSpan w:val="2"/>
          </w:tcPr>
          <w:p w14:paraId="343D4B51" w14:textId="77777777" w:rsidR="009B5DC4" w:rsidRPr="00B45877" w:rsidRDefault="009B5DC4" w:rsidP="00B45877">
            <w:pPr>
              <w:rPr>
                <w:rFonts w:eastAsia="Times New Roman" w:cstheme="minorHAnsi"/>
                <w:sz w:val="24"/>
                <w:szCs w:val="24"/>
              </w:rPr>
            </w:pPr>
          </w:p>
        </w:tc>
        <w:tc>
          <w:tcPr>
            <w:tcW w:w="3145" w:type="dxa"/>
          </w:tcPr>
          <w:p w14:paraId="44ABEE95" w14:textId="77777777" w:rsidR="009B5DC4" w:rsidRPr="00B45877" w:rsidRDefault="009B5DC4" w:rsidP="00B45877">
            <w:pPr>
              <w:keepNext/>
              <w:outlineLvl w:val="3"/>
              <w:rPr>
                <w:rFonts w:eastAsia="Times New Roman" w:cstheme="minorHAnsi"/>
                <w:b/>
                <w:bCs/>
                <w:sz w:val="24"/>
                <w:szCs w:val="24"/>
              </w:rPr>
            </w:pPr>
            <w:r w:rsidRPr="00B45877">
              <w:rPr>
                <w:rFonts w:eastAsia="Times New Roman" w:cstheme="minorHAnsi"/>
                <w:b/>
                <w:bCs/>
                <w:sz w:val="24"/>
                <w:szCs w:val="24"/>
              </w:rPr>
              <w:t>Total number in group</w:t>
            </w:r>
          </w:p>
        </w:tc>
        <w:tc>
          <w:tcPr>
            <w:tcW w:w="1134" w:type="dxa"/>
          </w:tcPr>
          <w:p w14:paraId="2E7F34D9" w14:textId="112146F5" w:rsidR="009B5DC4" w:rsidRPr="00B45877" w:rsidRDefault="009B5DC4" w:rsidP="00B45877">
            <w:pPr>
              <w:keepNext/>
              <w:outlineLvl w:val="3"/>
              <w:rPr>
                <w:rFonts w:eastAsia="Times New Roman" w:cstheme="minorHAnsi"/>
                <w:b/>
                <w:bCs/>
                <w:sz w:val="24"/>
                <w:szCs w:val="24"/>
              </w:rPr>
            </w:pPr>
          </w:p>
        </w:tc>
      </w:tr>
      <w:tr w:rsidR="005257C9" w:rsidRPr="005257C9" w14:paraId="1A5DD451" w14:textId="77777777" w:rsidTr="00CA41ED">
        <w:tc>
          <w:tcPr>
            <w:tcW w:w="10627" w:type="dxa"/>
            <w:gridSpan w:val="8"/>
            <w:shd w:val="clear" w:color="auto" w:fill="BFBFBF" w:themeFill="background1" w:themeFillShade="BF"/>
          </w:tcPr>
          <w:p w14:paraId="11E1B15C" w14:textId="589637ED" w:rsidR="005257C9" w:rsidRPr="005257C9" w:rsidRDefault="005257C9" w:rsidP="005257C9">
            <w:pPr>
              <w:keepNext/>
              <w:outlineLvl w:val="1"/>
              <w:rPr>
                <w:rFonts w:eastAsia="Times New Roman" w:cstheme="minorHAnsi"/>
                <w:b/>
                <w:bCs/>
                <w:sz w:val="24"/>
                <w:szCs w:val="24"/>
              </w:rPr>
            </w:pPr>
            <w:r w:rsidRPr="00B45877">
              <w:rPr>
                <w:rFonts w:eastAsia="Times New Roman" w:cstheme="minorHAnsi"/>
                <w:b/>
                <w:bCs/>
                <w:sz w:val="28"/>
                <w:szCs w:val="28"/>
              </w:rPr>
              <w:t>Activity Details</w:t>
            </w:r>
          </w:p>
        </w:tc>
      </w:tr>
      <w:tr w:rsidR="005257C9" w:rsidRPr="00B45877" w14:paraId="08768217" w14:textId="77777777" w:rsidTr="00D65005">
        <w:tc>
          <w:tcPr>
            <w:tcW w:w="10627" w:type="dxa"/>
            <w:gridSpan w:val="8"/>
          </w:tcPr>
          <w:p w14:paraId="1B2C2AE6" w14:textId="04182851" w:rsidR="005257C9" w:rsidRPr="00B45877" w:rsidRDefault="005257C9" w:rsidP="005257C9">
            <w:pPr>
              <w:rPr>
                <w:rFonts w:eastAsia="Times New Roman" w:cstheme="minorHAnsi"/>
                <w:b/>
                <w:sz w:val="24"/>
                <w:szCs w:val="24"/>
              </w:rPr>
            </w:pPr>
            <w:r w:rsidRPr="00B45877">
              <w:rPr>
                <w:rFonts w:eastAsia="Times New Roman" w:cstheme="minorHAnsi"/>
                <w:sz w:val="24"/>
                <w:szCs w:val="24"/>
              </w:rPr>
              <w:t xml:space="preserve">We would like to have instructed activities during our stay </w:t>
            </w:r>
          </w:p>
        </w:tc>
      </w:tr>
      <w:tr w:rsidR="005257C9" w:rsidRPr="00B45877" w14:paraId="0E0E4E0B" w14:textId="77777777" w:rsidTr="00D65005">
        <w:tc>
          <w:tcPr>
            <w:tcW w:w="4503" w:type="dxa"/>
            <w:gridSpan w:val="3"/>
          </w:tcPr>
          <w:p w14:paraId="4430EE9B" w14:textId="77777777" w:rsidR="005257C9" w:rsidRPr="00B45877" w:rsidRDefault="005257C9" w:rsidP="00293A77">
            <w:pPr>
              <w:rPr>
                <w:rFonts w:eastAsia="Times New Roman" w:cstheme="minorHAnsi"/>
                <w:b/>
                <w:sz w:val="24"/>
                <w:szCs w:val="24"/>
              </w:rPr>
            </w:pPr>
            <w:r w:rsidRPr="00B45877">
              <w:rPr>
                <w:rFonts w:eastAsia="Times New Roman" w:cstheme="minorHAnsi"/>
                <w:b/>
                <w:sz w:val="24"/>
                <w:szCs w:val="24"/>
              </w:rPr>
              <w:t>Activity Days</w:t>
            </w:r>
          </w:p>
        </w:tc>
        <w:tc>
          <w:tcPr>
            <w:tcW w:w="1134" w:type="dxa"/>
            <w:gridSpan w:val="2"/>
          </w:tcPr>
          <w:p w14:paraId="243E8EB8" w14:textId="77777777" w:rsidR="005257C9" w:rsidRPr="00B45877" w:rsidRDefault="005257C9" w:rsidP="00293A77">
            <w:pPr>
              <w:rPr>
                <w:rFonts w:eastAsia="Times New Roman" w:cstheme="minorHAnsi"/>
                <w:b/>
                <w:sz w:val="24"/>
                <w:szCs w:val="24"/>
              </w:rPr>
            </w:pPr>
            <w:r w:rsidRPr="00B45877">
              <w:rPr>
                <w:rFonts w:eastAsia="Times New Roman" w:cstheme="minorHAnsi"/>
                <w:b/>
                <w:sz w:val="24"/>
                <w:szCs w:val="24"/>
              </w:rPr>
              <w:t>No.</w:t>
            </w:r>
          </w:p>
        </w:tc>
        <w:tc>
          <w:tcPr>
            <w:tcW w:w="4990" w:type="dxa"/>
            <w:gridSpan w:val="3"/>
          </w:tcPr>
          <w:p w14:paraId="0EF5FD97" w14:textId="77777777" w:rsidR="005257C9" w:rsidRPr="00B45877" w:rsidRDefault="005257C9" w:rsidP="00293A77">
            <w:pPr>
              <w:rPr>
                <w:rFonts w:eastAsia="Times New Roman" w:cstheme="minorHAnsi"/>
                <w:b/>
                <w:sz w:val="24"/>
                <w:szCs w:val="24"/>
              </w:rPr>
            </w:pPr>
            <w:r w:rsidRPr="00B45877">
              <w:rPr>
                <w:rFonts w:eastAsia="Times New Roman" w:cstheme="minorHAnsi"/>
                <w:b/>
                <w:sz w:val="24"/>
                <w:szCs w:val="24"/>
              </w:rPr>
              <w:t>Day(s) of the Week</w:t>
            </w:r>
          </w:p>
        </w:tc>
      </w:tr>
      <w:tr w:rsidR="005257C9" w:rsidRPr="00B45877" w14:paraId="67DD2F60" w14:textId="77777777" w:rsidTr="00D65005">
        <w:tc>
          <w:tcPr>
            <w:tcW w:w="4503" w:type="dxa"/>
            <w:gridSpan w:val="3"/>
          </w:tcPr>
          <w:p w14:paraId="55D4BAB6" w14:textId="77777777" w:rsidR="005257C9" w:rsidRPr="00B45877" w:rsidRDefault="005257C9" w:rsidP="00293A77">
            <w:pPr>
              <w:rPr>
                <w:rFonts w:eastAsia="Times New Roman" w:cstheme="minorHAnsi"/>
                <w:sz w:val="24"/>
                <w:szCs w:val="24"/>
              </w:rPr>
            </w:pPr>
            <w:r w:rsidRPr="00B45877">
              <w:rPr>
                <w:rFonts w:eastAsia="Times New Roman" w:cstheme="minorHAnsi"/>
                <w:sz w:val="24"/>
                <w:szCs w:val="24"/>
              </w:rPr>
              <w:t>Full Days</w:t>
            </w:r>
          </w:p>
        </w:tc>
        <w:tc>
          <w:tcPr>
            <w:tcW w:w="1134" w:type="dxa"/>
            <w:gridSpan w:val="2"/>
          </w:tcPr>
          <w:p w14:paraId="5D0BB33B" w14:textId="77777777" w:rsidR="005257C9" w:rsidRPr="00B45877" w:rsidRDefault="005257C9" w:rsidP="00293A77">
            <w:pPr>
              <w:rPr>
                <w:rFonts w:eastAsia="Times New Roman" w:cstheme="minorHAnsi"/>
                <w:sz w:val="24"/>
                <w:szCs w:val="24"/>
                <w:u w:val="single"/>
              </w:rPr>
            </w:pPr>
          </w:p>
        </w:tc>
        <w:tc>
          <w:tcPr>
            <w:tcW w:w="4990" w:type="dxa"/>
            <w:gridSpan w:val="3"/>
          </w:tcPr>
          <w:p w14:paraId="24E7B37B" w14:textId="77777777" w:rsidR="005257C9" w:rsidRPr="00B45877" w:rsidRDefault="005257C9" w:rsidP="00293A77">
            <w:pPr>
              <w:rPr>
                <w:rFonts w:eastAsia="Times New Roman" w:cstheme="minorHAnsi"/>
                <w:sz w:val="24"/>
                <w:szCs w:val="24"/>
                <w:u w:val="single"/>
              </w:rPr>
            </w:pPr>
          </w:p>
        </w:tc>
      </w:tr>
      <w:tr w:rsidR="005257C9" w:rsidRPr="00B45877" w14:paraId="1F383BE0" w14:textId="77777777" w:rsidTr="00D65005">
        <w:tc>
          <w:tcPr>
            <w:tcW w:w="4503" w:type="dxa"/>
            <w:gridSpan w:val="3"/>
          </w:tcPr>
          <w:p w14:paraId="2B6F70D5" w14:textId="77777777" w:rsidR="005257C9" w:rsidRPr="00B45877" w:rsidRDefault="005257C9" w:rsidP="00293A77">
            <w:pPr>
              <w:rPr>
                <w:rFonts w:eastAsia="Times New Roman" w:cstheme="minorHAnsi"/>
                <w:sz w:val="24"/>
                <w:szCs w:val="24"/>
              </w:rPr>
            </w:pPr>
            <w:r w:rsidRPr="00B45877">
              <w:rPr>
                <w:rFonts w:eastAsia="Times New Roman" w:cstheme="minorHAnsi"/>
                <w:sz w:val="24"/>
                <w:szCs w:val="24"/>
              </w:rPr>
              <w:t>Half Days</w:t>
            </w:r>
            <w:r w:rsidRPr="00B45877">
              <w:rPr>
                <w:rFonts w:eastAsia="Times New Roman" w:cstheme="minorHAnsi"/>
                <w:i/>
                <w:sz w:val="20"/>
                <w:szCs w:val="20"/>
              </w:rPr>
              <w:t xml:space="preserve"> (please state whether am or pm)</w:t>
            </w:r>
          </w:p>
        </w:tc>
        <w:tc>
          <w:tcPr>
            <w:tcW w:w="1134" w:type="dxa"/>
            <w:gridSpan w:val="2"/>
          </w:tcPr>
          <w:p w14:paraId="6D4877FD" w14:textId="77777777" w:rsidR="005257C9" w:rsidRPr="00B45877" w:rsidRDefault="005257C9" w:rsidP="00293A77">
            <w:pPr>
              <w:rPr>
                <w:rFonts w:eastAsia="Times New Roman" w:cstheme="minorHAnsi"/>
                <w:sz w:val="24"/>
                <w:szCs w:val="24"/>
                <w:u w:val="single"/>
              </w:rPr>
            </w:pPr>
          </w:p>
        </w:tc>
        <w:tc>
          <w:tcPr>
            <w:tcW w:w="4990" w:type="dxa"/>
            <w:gridSpan w:val="3"/>
          </w:tcPr>
          <w:p w14:paraId="1030123C" w14:textId="77777777" w:rsidR="005257C9" w:rsidRPr="00B45877" w:rsidRDefault="005257C9" w:rsidP="00293A77">
            <w:pPr>
              <w:rPr>
                <w:rFonts w:eastAsia="Times New Roman" w:cstheme="minorHAnsi"/>
                <w:sz w:val="24"/>
                <w:szCs w:val="24"/>
                <w:u w:val="single"/>
              </w:rPr>
            </w:pPr>
          </w:p>
        </w:tc>
      </w:tr>
      <w:tr w:rsidR="005257C9" w:rsidRPr="00B45877" w14:paraId="0DDC97CD" w14:textId="77777777" w:rsidTr="00D65005">
        <w:tc>
          <w:tcPr>
            <w:tcW w:w="4503" w:type="dxa"/>
            <w:gridSpan w:val="3"/>
          </w:tcPr>
          <w:p w14:paraId="4B5DBD11" w14:textId="77777777" w:rsidR="005257C9" w:rsidRPr="00B45877" w:rsidRDefault="005257C9" w:rsidP="00293A77">
            <w:pPr>
              <w:rPr>
                <w:rFonts w:eastAsia="Times New Roman" w:cstheme="minorHAnsi"/>
                <w:sz w:val="24"/>
                <w:szCs w:val="24"/>
              </w:rPr>
            </w:pPr>
            <w:r w:rsidRPr="00B45877">
              <w:rPr>
                <w:rFonts w:eastAsia="Times New Roman" w:cstheme="minorHAnsi"/>
                <w:sz w:val="24"/>
                <w:szCs w:val="24"/>
              </w:rPr>
              <w:t>Evenings</w:t>
            </w:r>
          </w:p>
        </w:tc>
        <w:tc>
          <w:tcPr>
            <w:tcW w:w="1134" w:type="dxa"/>
            <w:gridSpan w:val="2"/>
          </w:tcPr>
          <w:p w14:paraId="662B13F5" w14:textId="77777777" w:rsidR="005257C9" w:rsidRPr="00B45877" w:rsidRDefault="005257C9" w:rsidP="00293A77">
            <w:pPr>
              <w:rPr>
                <w:rFonts w:eastAsia="Times New Roman" w:cstheme="minorHAnsi"/>
                <w:sz w:val="24"/>
                <w:szCs w:val="24"/>
                <w:u w:val="single"/>
              </w:rPr>
            </w:pPr>
          </w:p>
        </w:tc>
        <w:tc>
          <w:tcPr>
            <w:tcW w:w="4990" w:type="dxa"/>
            <w:gridSpan w:val="3"/>
          </w:tcPr>
          <w:p w14:paraId="1DA99598" w14:textId="77777777" w:rsidR="005257C9" w:rsidRPr="00B45877" w:rsidRDefault="005257C9" w:rsidP="00293A77">
            <w:pPr>
              <w:rPr>
                <w:rFonts w:eastAsia="Times New Roman" w:cstheme="minorHAnsi"/>
                <w:sz w:val="24"/>
                <w:szCs w:val="24"/>
                <w:u w:val="single"/>
              </w:rPr>
            </w:pPr>
          </w:p>
        </w:tc>
      </w:tr>
      <w:tr w:rsidR="005257C9" w:rsidRPr="00B45877" w14:paraId="43886B32" w14:textId="77777777" w:rsidTr="00D65005">
        <w:tc>
          <w:tcPr>
            <w:tcW w:w="10627" w:type="dxa"/>
            <w:gridSpan w:val="8"/>
          </w:tcPr>
          <w:p w14:paraId="7BB0C137" w14:textId="4C90F4E0" w:rsidR="005257C9" w:rsidRDefault="005257C9" w:rsidP="005257C9">
            <w:pPr>
              <w:rPr>
                <w:rFonts w:eastAsia="Times New Roman" w:cstheme="minorHAnsi"/>
                <w:sz w:val="24"/>
                <w:szCs w:val="24"/>
              </w:rPr>
            </w:pPr>
            <w:r w:rsidRPr="00B45877">
              <w:rPr>
                <w:rFonts w:eastAsia="Times New Roman" w:cstheme="minorHAnsi"/>
                <w:sz w:val="24"/>
                <w:szCs w:val="24"/>
              </w:rPr>
              <w:t xml:space="preserve">Which activities are you interested in doing (please use the list </w:t>
            </w:r>
            <w:r w:rsidR="004E0BB5">
              <w:rPr>
                <w:rFonts w:eastAsia="Times New Roman" w:cstheme="minorHAnsi"/>
                <w:sz w:val="24"/>
                <w:szCs w:val="24"/>
              </w:rPr>
              <w:t>on the website</w:t>
            </w:r>
            <w:r w:rsidRPr="00B45877">
              <w:rPr>
                <w:rFonts w:eastAsia="Times New Roman" w:cstheme="minorHAnsi"/>
                <w:sz w:val="24"/>
                <w:szCs w:val="24"/>
              </w:rPr>
              <w:t xml:space="preserve"> for guidance)</w:t>
            </w:r>
          </w:p>
          <w:p w14:paraId="308996C2" w14:textId="296963F3" w:rsidR="005257C9" w:rsidRDefault="005257C9" w:rsidP="005257C9">
            <w:pPr>
              <w:rPr>
                <w:rFonts w:eastAsia="Times New Roman" w:cstheme="minorHAnsi"/>
                <w:sz w:val="24"/>
                <w:szCs w:val="24"/>
              </w:rPr>
            </w:pPr>
          </w:p>
          <w:p w14:paraId="54B7F5F2" w14:textId="77777777" w:rsidR="005257C9" w:rsidRPr="00B45877" w:rsidRDefault="005257C9" w:rsidP="005257C9">
            <w:pPr>
              <w:rPr>
                <w:rFonts w:eastAsia="Times New Roman" w:cstheme="minorHAnsi"/>
                <w:sz w:val="24"/>
                <w:szCs w:val="24"/>
              </w:rPr>
            </w:pPr>
          </w:p>
          <w:p w14:paraId="50D67B27" w14:textId="77777777" w:rsidR="005257C9" w:rsidRDefault="005257C9" w:rsidP="00293A77">
            <w:pPr>
              <w:rPr>
                <w:rFonts w:eastAsia="Times New Roman" w:cstheme="minorHAnsi"/>
                <w:sz w:val="24"/>
                <w:szCs w:val="24"/>
                <w:u w:val="single"/>
              </w:rPr>
            </w:pPr>
          </w:p>
          <w:p w14:paraId="4D3FDDFC" w14:textId="718B2DEA" w:rsidR="009B5DC4" w:rsidRDefault="009B5DC4" w:rsidP="00293A77">
            <w:pPr>
              <w:rPr>
                <w:rFonts w:eastAsia="Times New Roman" w:cstheme="minorHAnsi"/>
                <w:sz w:val="24"/>
                <w:szCs w:val="24"/>
                <w:u w:val="single"/>
              </w:rPr>
            </w:pPr>
          </w:p>
          <w:p w14:paraId="036D6B57" w14:textId="77777777" w:rsidR="00CA41ED" w:rsidRDefault="00CA41ED" w:rsidP="00293A77">
            <w:pPr>
              <w:rPr>
                <w:rFonts w:eastAsia="Times New Roman" w:cstheme="minorHAnsi"/>
                <w:sz w:val="24"/>
                <w:szCs w:val="24"/>
                <w:u w:val="single"/>
              </w:rPr>
            </w:pPr>
          </w:p>
          <w:p w14:paraId="69497E8A" w14:textId="4F3F5F82" w:rsidR="009B5DC4" w:rsidRPr="00B45877" w:rsidRDefault="009B5DC4" w:rsidP="00293A77">
            <w:pPr>
              <w:rPr>
                <w:rFonts w:eastAsia="Times New Roman" w:cstheme="minorHAnsi"/>
                <w:sz w:val="24"/>
                <w:szCs w:val="24"/>
                <w:u w:val="single"/>
              </w:rPr>
            </w:pPr>
          </w:p>
        </w:tc>
      </w:tr>
      <w:tr w:rsidR="00D65005" w14:paraId="3A2A0A27" w14:textId="77777777" w:rsidTr="00D65005">
        <w:tc>
          <w:tcPr>
            <w:tcW w:w="10627" w:type="dxa"/>
            <w:gridSpan w:val="8"/>
            <w:tcBorders>
              <w:bottom w:val="nil"/>
            </w:tcBorders>
          </w:tcPr>
          <w:p w14:paraId="5774E2B4" w14:textId="4A7B1EE8" w:rsidR="00D65005" w:rsidRDefault="00D65005" w:rsidP="00B45877">
            <w:pPr>
              <w:rPr>
                <w:rFonts w:eastAsia="Times New Roman" w:cstheme="minorHAnsi"/>
                <w:sz w:val="24"/>
                <w:szCs w:val="24"/>
              </w:rPr>
            </w:pPr>
            <w:r>
              <w:rPr>
                <w:rFonts w:eastAsia="Times New Roman" w:cstheme="minorHAnsi"/>
                <w:sz w:val="24"/>
                <w:szCs w:val="24"/>
              </w:rPr>
              <w:t>Where did you hear about Kepplewray</w:t>
            </w:r>
          </w:p>
        </w:tc>
      </w:tr>
      <w:tr w:rsidR="00D65005" w14:paraId="611508FE" w14:textId="77777777" w:rsidTr="00CA41ED">
        <w:tc>
          <w:tcPr>
            <w:tcW w:w="10627" w:type="dxa"/>
            <w:gridSpan w:val="8"/>
            <w:tcBorders>
              <w:top w:val="nil"/>
              <w:bottom w:val="single" w:sz="4" w:space="0" w:color="auto"/>
            </w:tcBorders>
          </w:tcPr>
          <w:p w14:paraId="20157984" w14:textId="77777777" w:rsidR="00D65005" w:rsidRDefault="00D65005" w:rsidP="00B45877">
            <w:pPr>
              <w:rPr>
                <w:rFonts w:eastAsia="Times New Roman" w:cstheme="minorHAnsi"/>
                <w:sz w:val="24"/>
                <w:szCs w:val="24"/>
              </w:rPr>
            </w:pPr>
          </w:p>
          <w:p w14:paraId="1BFAEB03" w14:textId="77777777" w:rsidR="00D65005" w:rsidRDefault="00D65005" w:rsidP="00B45877">
            <w:pPr>
              <w:rPr>
                <w:rFonts w:eastAsia="Times New Roman" w:cstheme="minorHAnsi"/>
                <w:sz w:val="24"/>
                <w:szCs w:val="24"/>
              </w:rPr>
            </w:pPr>
          </w:p>
          <w:p w14:paraId="79D4502F" w14:textId="72E37B37" w:rsidR="00D65005" w:rsidRDefault="00D65005" w:rsidP="00B45877">
            <w:pPr>
              <w:rPr>
                <w:rFonts w:eastAsia="Times New Roman" w:cstheme="minorHAnsi"/>
                <w:sz w:val="24"/>
                <w:szCs w:val="24"/>
              </w:rPr>
            </w:pPr>
          </w:p>
        </w:tc>
      </w:tr>
      <w:tr w:rsidR="00BC7404" w:rsidRPr="00BC7404" w14:paraId="47B046AD" w14:textId="77777777" w:rsidTr="00CA41ED">
        <w:tc>
          <w:tcPr>
            <w:tcW w:w="10627" w:type="dxa"/>
            <w:gridSpan w:val="8"/>
            <w:tcBorders>
              <w:bottom w:val="nil"/>
            </w:tcBorders>
            <w:shd w:val="clear" w:color="auto" w:fill="BFBFBF" w:themeFill="background1" w:themeFillShade="BF"/>
          </w:tcPr>
          <w:p w14:paraId="6F666EA9" w14:textId="77777777" w:rsidR="00BC7404" w:rsidRPr="00BC7404" w:rsidRDefault="00BC7404" w:rsidP="00293A77">
            <w:pPr>
              <w:rPr>
                <w:rFonts w:eastAsia="Times New Roman" w:cstheme="minorHAnsi"/>
                <w:b/>
                <w:bCs/>
                <w:sz w:val="28"/>
                <w:szCs w:val="28"/>
              </w:rPr>
            </w:pPr>
            <w:r w:rsidRPr="00B45877">
              <w:rPr>
                <w:rFonts w:eastAsia="Times New Roman" w:cstheme="minorHAnsi"/>
                <w:b/>
                <w:bCs/>
                <w:sz w:val="28"/>
                <w:szCs w:val="28"/>
              </w:rPr>
              <w:t>Payment</w:t>
            </w:r>
          </w:p>
        </w:tc>
      </w:tr>
      <w:tr w:rsidR="00BC7404" w:rsidRPr="00B45877" w14:paraId="5F012944" w14:textId="77777777" w:rsidTr="00CA41ED">
        <w:tc>
          <w:tcPr>
            <w:tcW w:w="10627" w:type="dxa"/>
            <w:gridSpan w:val="8"/>
            <w:tcBorders>
              <w:top w:val="nil"/>
              <w:left w:val="single" w:sz="4" w:space="0" w:color="auto"/>
              <w:bottom w:val="nil"/>
              <w:right w:val="single" w:sz="4" w:space="0" w:color="auto"/>
            </w:tcBorders>
          </w:tcPr>
          <w:p w14:paraId="5094294C" w14:textId="77777777" w:rsidR="00BC7404" w:rsidRPr="00BC7404" w:rsidRDefault="00BC7404" w:rsidP="00293A77">
            <w:pPr>
              <w:rPr>
                <w:rFonts w:eastAsia="Times New Roman" w:cstheme="minorHAnsi"/>
                <w:sz w:val="20"/>
                <w:szCs w:val="20"/>
              </w:rPr>
            </w:pPr>
            <w:r w:rsidRPr="00B45877">
              <w:rPr>
                <w:rFonts w:eastAsia="Times New Roman" w:cstheme="minorHAnsi"/>
                <w:sz w:val="20"/>
                <w:szCs w:val="20"/>
              </w:rPr>
              <w:t>Can be made by electronic transfer, BACS transfer or by cheque, made payable to “The Kepplewray Trust”.</w:t>
            </w:r>
          </w:p>
        </w:tc>
      </w:tr>
      <w:tr w:rsidR="00BC7404" w:rsidRPr="00B45877" w14:paraId="69FC2437" w14:textId="77777777" w:rsidTr="00CA41ED">
        <w:tc>
          <w:tcPr>
            <w:tcW w:w="10627" w:type="dxa"/>
            <w:gridSpan w:val="8"/>
            <w:tcBorders>
              <w:top w:val="nil"/>
              <w:left w:val="single" w:sz="4" w:space="0" w:color="auto"/>
              <w:bottom w:val="single" w:sz="4" w:space="0" w:color="auto"/>
              <w:right w:val="single" w:sz="4" w:space="0" w:color="auto"/>
            </w:tcBorders>
          </w:tcPr>
          <w:p w14:paraId="4A98FBAE" w14:textId="77777777" w:rsidR="00BC7404" w:rsidRPr="00BC7404" w:rsidRDefault="00BC7404" w:rsidP="00293A77">
            <w:pPr>
              <w:rPr>
                <w:rFonts w:eastAsia="Times New Roman" w:cstheme="minorHAnsi"/>
                <w:sz w:val="20"/>
                <w:szCs w:val="20"/>
              </w:rPr>
            </w:pPr>
            <w:r w:rsidRPr="00B45877">
              <w:rPr>
                <w:rFonts w:eastAsia="Times New Roman" w:cstheme="minorHAnsi"/>
                <w:b/>
                <w:bCs/>
                <w:sz w:val="20"/>
                <w:szCs w:val="20"/>
              </w:rPr>
              <w:t xml:space="preserve">Please Note: </w:t>
            </w:r>
            <w:r w:rsidRPr="00B45877">
              <w:rPr>
                <w:rFonts w:eastAsia="Times New Roman" w:cstheme="minorHAnsi"/>
                <w:sz w:val="20"/>
                <w:szCs w:val="20"/>
              </w:rPr>
              <w:t>A booking remains “Provisional” until Kepplewray is in receipt of your deposit and as such the Centre remains available to other potential guests.</w:t>
            </w:r>
          </w:p>
        </w:tc>
      </w:tr>
    </w:tbl>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394"/>
      </w:tblGrid>
      <w:tr w:rsidR="005257C9" w:rsidRPr="005257C9" w14:paraId="1B6317CB" w14:textId="77777777" w:rsidTr="00CA41ED">
        <w:trPr>
          <w:trHeight w:val="140"/>
        </w:trPr>
        <w:tc>
          <w:tcPr>
            <w:tcW w:w="10627" w:type="dxa"/>
            <w:gridSpan w:val="2"/>
            <w:tcBorders>
              <w:bottom w:val="nil"/>
            </w:tcBorders>
            <w:shd w:val="clear" w:color="auto" w:fill="BFBFBF" w:themeFill="background1" w:themeFillShade="BF"/>
            <w:vAlign w:val="bottom"/>
          </w:tcPr>
          <w:p w14:paraId="6C412CDD" w14:textId="77777777" w:rsidR="005257C9" w:rsidRPr="005257C9" w:rsidRDefault="005257C9" w:rsidP="00293A77">
            <w:pPr>
              <w:spacing w:after="0" w:line="240" w:lineRule="auto"/>
              <w:rPr>
                <w:rFonts w:eastAsia="Times New Roman" w:cstheme="minorHAnsi"/>
                <w:b/>
                <w:bCs/>
                <w:sz w:val="28"/>
                <w:szCs w:val="28"/>
              </w:rPr>
            </w:pPr>
            <w:r w:rsidRPr="00B45877">
              <w:rPr>
                <w:rFonts w:eastAsia="Times New Roman" w:cstheme="minorHAnsi"/>
                <w:b/>
                <w:bCs/>
                <w:sz w:val="28"/>
                <w:szCs w:val="28"/>
              </w:rPr>
              <w:t>Your Agreement</w:t>
            </w:r>
          </w:p>
        </w:tc>
      </w:tr>
      <w:tr w:rsidR="005257C9" w:rsidRPr="00B45877" w14:paraId="33919DD4" w14:textId="77777777" w:rsidTr="00CA41ED">
        <w:trPr>
          <w:trHeight w:val="140"/>
        </w:trPr>
        <w:tc>
          <w:tcPr>
            <w:tcW w:w="10627" w:type="dxa"/>
            <w:gridSpan w:val="2"/>
            <w:tcBorders>
              <w:top w:val="nil"/>
              <w:bottom w:val="nil"/>
            </w:tcBorders>
            <w:vAlign w:val="bottom"/>
          </w:tcPr>
          <w:p w14:paraId="439483D0" w14:textId="77777777" w:rsidR="005257C9" w:rsidRPr="00B45877" w:rsidRDefault="005257C9" w:rsidP="00293A77">
            <w:pPr>
              <w:spacing w:after="0" w:line="240" w:lineRule="auto"/>
              <w:rPr>
                <w:rFonts w:eastAsia="Times New Roman" w:cstheme="minorHAnsi"/>
                <w:sz w:val="24"/>
                <w:szCs w:val="24"/>
              </w:rPr>
            </w:pPr>
            <w:r w:rsidRPr="00B45877">
              <w:rPr>
                <w:rFonts w:eastAsia="Times New Roman" w:cstheme="minorHAnsi"/>
                <w:sz w:val="24"/>
                <w:szCs w:val="24"/>
              </w:rPr>
              <w:t xml:space="preserve">I have read and understood the terms &amp; conditions and I am over 18 years old. </w:t>
            </w:r>
          </w:p>
        </w:tc>
      </w:tr>
      <w:tr w:rsidR="005257C9" w:rsidRPr="00B45877" w14:paraId="36726BCD" w14:textId="77777777" w:rsidTr="00FA3B46">
        <w:trPr>
          <w:trHeight w:val="140"/>
        </w:trPr>
        <w:tc>
          <w:tcPr>
            <w:tcW w:w="5233" w:type="dxa"/>
            <w:tcBorders>
              <w:top w:val="nil"/>
              <w:bottom w:val="nil"/>
              <w:right w:val="nil"/>
            </w:tcBorders>
            <w:vAlign w:val="bottom"/>
          </w:tcPr>
          <w:p w14:paraId="74608AA1" w14:textId="77777777" w:rsidR="005257C9" w:rsidRPr="00BC7404" w:rsidRDefault="005257C9" w:rsidP="00293A77">
            <w:pPr>
              <w:spacing w:after="0" w:line="240" w:lineRule="auto"/>
              <w:rPr>
                <w:rFonts w:eastAsia="Times New Roman" w:cstheme="minorHAnsi"/>
                <w:b/>
                <w:bCs/>
                <w:sz w:val="24"/>
                <w:szCs w:val="24"/>
              </w:rPr>
            </w:pPr>
            <w:r w:rsidRPr="00B45877">
              <w:rPr>
                <w:rFonts w:eastAsia="Times New Roman" w:cstheme="minorHAnsi"/>
                <w:b/>
                <w:bCs/>
                <w:sz w:val="24"/>
                <w:szCs w:val="24"/>
              </w:rPr>
              <w:t>Signed:</w:t>
            </w:r>
          </w:p>
          <w:p w14:paraId="36B340AB" w14:textId="77777777" w:rsidR="005257C9" w:rsidRPr="00B45877" w:rsidRDefault="005257C9" w:rsidP="00293A77">
            <w:pPr>
              <w:spacing w:after="0" w:line="240" w:lineRule="auto"/>
              <w:rPr>
                <w:rFonts w:eastAsia="Times New Roman" w:cstheme="minorHAnsi"/>
                <w:sz w:val="24"/>
                <w:szCs w:val="24"/>
              </w:rPr>
            </w:pPr>
          </w:p>
        </w:tc>
        <w:tc>
          <w:tcPr>
            <w:tcW w:w="5394" w:type="dxa"/>
            <w:tcBorders>
              <w:top w:val="nil"/>
              <w:left w:val="nil"/>
              <w:bottom w:val="nil"/>
            </w:tcBorders>
          </w:tcPr>
          <w:p w14:paraId="15C4B578" w14:textId="77777777" w:rsidR="005257C9" w:rsidRPr="00B45877" w:rsidRDefault="005257C9" w:rsidP="00293A77">
            <w:pPr>
              <w:spacing w:after="0" w:line="240" w:lineRule="auto"/>
              <w:rPr>
                <w:rFonts w:eastAsia="Times New Roman" w:cstheme="minorHAnsi"/>
                <w:b/>
                <w:bCs/>
                <w:sz w:val="24"/>
                <w:szCs w:val="24"/>
              </w:rPr>
            </w:pPr>
            <w:r w:rsidRPr="00B45877">
              <w:rPr>
                <w:rFonts w:eastAsia="Times New Roman" w:cstheme="minorHAnsi"/>
                <w:b/>
                <w:bCs/>
                <w:sz w:val="24"/>
                <w:szCs w:val="24"/>
              </w:rPr>
              <w:t xml:space="preserve"> Date:</w:t>
            </w:r>
          </w:p>
        </w:tc>
      </w:tr>
      <w:tr w:rsidR="00FA3B46" w:rsidRPr="00B45877" w14:paraId="53653424" w14:textId="77777777" w:rsidTr="00CA41ED">
        <w:trPr>
          <w:trHeight w:val="140"/>
        </w:trPr>
        <w:tc>
          <w:tcPr>
            <w:tcW w:w="5233" w:type="dxa"/>
            <w:tcBorders>
              <w:top w:val="nil"/>
              <w:right w:val="nil"/>
            </w:tcBorders>
            <w:vAlign w:val="bottom"/>
          </w:tcPr>
          <w:p w14:paraId="740836C9" w14:textId="77777777" w:rsidR="00FA3B46" w:rsidRPr="00B45877" w:rsidRDefault="00FA3B46" w:rsidP="00293A77">
            <w:pPr>
              <w:spacing w:after="0" w:line="240" w:lineRule="auto"/>
              <w:rPr>
                <w:rFonts w:eastAsia="Times New Roman" w:cstheme="minorHAnsi"/>
                <w:b/>
                <w:bCs/>
                <w:sz w:val="24"/>
                <w:szCs w:val="24"/>
              </w:rPr>
            </w:pPr>
          </w:p>
        </w:tc>
        <w:tc>
          <w:tcPr>
            <w:tcW w:w="5394" w:type="dxa"/>
            <w:tcBorders>
              <w:top w:val="nil"/>
              <w:left w:val="nil"/>
            </w:tcBorders>
          </w:tcPr>
          <w:p w14:paraId="7A2AB4C0" w14:textId="77777777" w:rsidR="00FA3B46" w:rsidRPr="00B45877" w:rsidRDefault="00FA3B46" w:rsidP="00293A77">
            <w:pPr>
              <w:spacing w:after="0" w:line="240" w:lineRule="auto"/>
              <w:rPr>
                <w:rFonts w:eastAsia="Times New Roman" w:cstheme="minorHAnsi"/>
                <w:b/>
                <w:bCs/>
                <w:sz w:val="24"/>
                <w:szCs w:val="24"/>
              </w:rPr>
            </w:pPr>
          </w:p>
        </w:tc>
      </w:tr>
    </w:tbl>
    <w:p w14:paraId="76C50195" w14:textId="2536647D" w:rsidR="00FA3B46" w:rsidRPr="00FA3B46" w:rsidRDefault="00FA3B46" w:rsidP="00303000">
      <w:pPr>
        <w:pStyle w:val="Body"/>
        <w:spacing w:after="0"/>
        <w:rPr>
          <w:b/>
          <w:bCs/>
          <w:sz w:val="32"/>
          <w:szCs w:val="32"/>
          <w:lang w:val="en-GB"/>
        </w:rPr>
      </w:pPr>
      <w:r w:rsidRPr="00FA3B46">
        <w:rPr>
          <w:b/>
          <w:bCs/>
          <w:sz w:val="32"/>
          <w:szCs w:val="32"/>
          <w:lang w:val="en-GB"/>
        </w:rPr>
        <w:lastRenderedPageBreak/>
        <w:t xml:space="preserve">The Kepplewray Centre – Booking Terms &amp; Conditions </w:t>
      </w:r>
    </w:p>
    <w:p w14:paraId="32DAB2FC" w14:textId="4282F91F" w:rsidR="00FA3B46" w:rsidRPr="00CE0135" w:rsidRDefault="00FA3B46" w:rsidP="00303000">
      <w:pPr>
        <w:pStyle w:val="Body"/>
        <w:spacing w:after="0"/>
        <w:rPr>
          <w:lang w:val="en-GB"/>
        </w:rPr>
      </w:pPr>
      <w:bookmarkStart w:id="0" w:name="_GoBack"/>
      <w:bookmarkEnd w:id="0"/>
      <w:r w:rsidRPr="00CE0135">
        <w:rPr>
          <w:b/>
          <w:bCs/>
          <w:sz w:val="24"/>
          <w:szCs w:val="24"/>
          <w:lang w:val="en-GB"/>
        </w:rPr>
        <w:t>Accommodation / Programme</w:t>
      </w:r>
    </w:p>
    <w:p w14:paraId="0B113508"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 xml:space="preserve">The Centre can accommodate up to a maximum of 76 people in a mix of ‘dormitory’ style rooms with varying numbers of beds within each room.  </w:t>
      </w:r>
    </w:p>
    <w:p w14:paraId="2E2C3253"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If the Centre is booked for “sole use”, all bedrooms will be available to occupy as required.</w:t>
      </w:r>
    </w:p>
    <w:p w14:paraId="70935964"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If the Centre is not booked for “sole use”, there may be more than one group staying and bedrooms will be allocated commensurate with the number of guests in the group.</w:t>
      </w:r>
      <w:r>
        <w:rPr>
          <w:sz w:val="20"/>
          <w:szCs w:val="20"/>
          <w:lang w:val="en-GB"/>
        </w:rPr>
        <w:t xml:space="preserve">  We will make every effort to keep all members of each group as close together as possible.</w:t>
      </w:r>
    </w:p>
    <w:p w14:paraId="5FD936DB" w14:textId="77777777" w:rsidR="00FA3B46" w:rsidRPr="00CE0135" w:rsidRDefault="00FA3B46" w:rsidP="00303000">
      <w:pPr>
        <w:pStyle w:val="NoSpacing"/>
        <w:numPr>
          <w:ilvl w:val="0"/>
          <w:numId w:val="2"/>
        </w:numPr>
        <w:ind w:left="284" w:hanging="284"/>
        <w:jc w:val="both"/>
        <w:rPr>
          <w:color w:val="auto"/>
          <w:sz w:val="20"/>
          <w:szCs w:val="20"/>
          <w:lang w:val="en-GB"/>
        </w:rPr>
      </w:pPr>
      <w:r w:rsidRPr="00CE0135">
        <w:rPr>
          <w:color w:val="auto"/>
          <w:sz w:val="20"/>
          <w:szCs w:val="20"/>
          <w:lang w:val="en-GB"/>
        </w:rPr>
        <w:t xml:space="preserve">Bathroom facilities are generally shared and convenient for all bedrooms. Two rooms have </w:t>
      </w:r>
      <w:proofErr w:type="spellStart"/>
      <w:r w:rsidRPr="00CE0135">
        <w:rPr>
          <w:color w:val="auto"/>
          <w:sz w:val="20"/>
          <w:szCs w:val="20"/>
          <w:lang w:val="en-GB"/>
        </w:rPr>
        <w:t>e</w:t>
      </w:r>
      <w:r>
        <w:rPr>
          <w:color w:val="auto"/>
          <w:sz w:val="20"/>
          <w:szCs w:val="20"/>
          <w:lang w:val="en-GB"/>
        </w:rPr>
        <w:t>n</w:t>
      </w:r>
      <w:proofErr w:type="spellEnd"/>
      <w:r>
        <w:rPr>
          <w:color w:val="auto"/>
          <w:sz w:val="20"/>
          <w:szCs w:val="20"/>
          <w:lang w:val="en-GB"/>
        </w:rPr>
        <w:t xml:space="preserve"> s</w:t>
      </w:r>
      <w:r w:rsidRPr="00CE0135">
        <w:rPr>
          <w:color w:val="auto"/>
          <w:sz w:val="20"/>
          <w:szCs w:val="20"/>
          <w:lang w:val="en-GB"/>
        </w:rPr>
        <w:t>uite shower rooms.</w:t>
      </w:r>
    </w:p>
    <w:p w14:paraId="2B1A4E32"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 xml:space="preserve">Meals are served at set times in the Dining Room and all Centre guests dine at the same time, even if there is more than one group in residence.  </w:t>
      </w:r>
    </w:p>
    <w:p w14:paraId="2B369774"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 xml:space="preserve">Unless previously agreed in writing with Kepplewray the first meal of your stay will be a cooked evening meal and the last meal will be a packed </w:t>
      </w:r>
      <w:r w:rsidRPr="00CE0135">
        <w:rPr>
          <w:color w:val="auto"/>
          <w:sz w:val="20"/>
          <w:szCs w:val="20"/>
          <w:lang w:val="en-GB"/>
        </w:rPr>
        <w:t>lunch</w:t>
      </w:r>
      <w:r w:rsidRPr="00CE0135">
        <w:rPr>
          <w:sz w:val="20"/>
          <w:szCs w:val="20"/>
          <w:lang w:val="en-GB"/>
        </w:rPr>
        <w:t xml:space="preserve"> on the day of departure. Please advise Kepplewray of any dietary requirements at least 2 weeks before arrival so that necessary arrangements may be made.</w:t>
      </w:r>
    </w:p>
    <w:p w14:paraId="685CF4F6"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There are no members of Kepplewray staff on site overnight.  Guests are given the Duty Manager contact details for out of hours support.  Access to the building outside office hours is via a security door to which only staff and guests know the code.  The code is changed regularly and guests are advised of the code on arrival.</w:t>
      </w:r>
    </w:p>
    <w:p w14:paraId="512E6792"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Bed linen is provided (single sheet, pillow case and duvet cover) but not towels.</w:t>
      </w:r>
    </w:p>
    <w:p w14:paraId="7C481C95"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Unless previously agreed with</w:t>
      </w:r>
      <w:r w:rsidRPr="00CE0135">
        <w:rPr>
          <w:color w:val="FF2600"/>
          <w:sz w:val="20"/>
          <w:szCs w:val="20"/>
          <w:lang w:val="en-GB"/>
        </w:rPr>
        <w:t xml:space="preserve"> </w:t>
      </w:r>
      <w:r w:rsidRPr="00CE0135">
        <w:rPr>
          <w:sz w:val="20"/>
          <w:szCs w:val="20"/>
          <w:lang w:val="en-GB"/>
        </w:rPr>
        <w:t>Kepplewray, groups are asked to arrive after 12:30pm.</w:t>
      </w:r>
    </w:p>
    <w:p w14:paraId="757D8A72"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All guests are asked to vacate the bedrooms by 9.30am on the day of their departure (bags can be stored in a downstairs room).</w:t>
      </w:r>
    </w:p>
    <w:p w14:paraId="6C351D3D" w14:textId="77777777" w:rsidR="00FA3B46" w:rsidRPr="00CE0135" w:rsidRDefault="00FA3B46" w:rsidP="00303000">
      <w:pPr>
        <w:pStyle w:val="NoSpacing"/>
        <w:numPr>
          <w:ilvl w:val="0"/>
          <w:numId w:val="2"/>
        </w:numPr>
        <w:ind w:left="284" w:hanging="284"/>
        <w:jc w:val="both"/>
        <w:rPr>
          <w:color w:val="auto"/>
          <w:sz w:val="20"/>
          <w:szCs w:val="20"/>
          <w:lang w:val="en-GB"/>
        </w:rPr>
      </w:pPr>
      <w:r w:rsidRPr="00CE0135">
        <w:rPr>
          <w:color w:val="auto"/>
          <w:sz w:val="20"/>
          <w:szCs w:val="20"/>
          <w:lang w:val="en-GB"/>
        </w:rPr>
        <w:t>Guest groups should maintain the adult/child ratio as per their organisation’s operating procedures and abide by their organisation’s safeguarding policy.  Each group doing outside activities will require at least one adult (18+) to supervise.</w:t>
      </w:r>
    </w:p>
    <w:p w14:paraId="4CAFA7AB" w14:textId="77777777" w:rsidR="00FA3B46" w:rsidRPr="00CE0135" w:rsidRDefault="00FA3B46" w:rsidP="00303000">
      <w:pPr>
        <w:pStyle w:val="NoSpacing"/>
        <w:numPr>
          <w:ilvl w:val="0"/>
          <w:numId w:val="2"/>
        </w:numPr>
        <w:ind w:left="284" w:hanging="284"/>
        <w:jc w:val="both"/>
        <w:rPr>
          <w:sz w:val="20"/>
          <w:szCs w:val="20"/>
          <w:lang w:val="en-GB"/>
        </w:rPr>
      </w:pPr>
      <w:r w:rsidRPr="00CE0135">
        <w:rPr>
          <w:sz w:val="20"/>
          <w:szCs w:val="20"/>
          <w:lang w:val="en-GB"/>
        </w:rPr>
        <w:t xml:space="preserve">During </w:t>
      </w:r>
      <w:r w:rsidRPr="00CE0135">
        <w:rPr>
          <w:color w:val="auto"/>
          <w:sz w:val="20"/>
          <w:szCs w:val="20"/>
          <w:lang w:val="en-GB"/>
        </w:rPr>
        <w:t>activities, Kepplewray</w:t>
      </w:r>
      <w:r w:rsidRPr="00CE0135">
        <w:rPr>
          <w:sz w:val="20"/>
          <w:szCs w:val="20"/>
          <w:lang w:val="en-GB"/>
        </w:rPr>
        <w:t xml:space="preserve"> instructors will be responsible for meeting the aims of the session in a safe manner.  The pastoral care and control of the group will be the responsibility of the supervising adult member unless the Kepplewray instructor deems it necessary to take control for the wellbeing of the group members.</w:t>
      </w:r>
    </w:p>
    <w:p w14:paraId="09C0245D" w14:textId="77777777" w:rsidR="00FA3B46" w:rsidRPr="005B518A" w:rsidRDefault="00FA3B46" w:rsidP="00FA3B46">
      <w:pPr>
        <w:pStyle w:val="NoSpacing"/>
        <w:ind w:left="720"/>
        <w:rPr>
          <w:sz w:val="20"/>
          <w:szCs w:val="20"/>
          <w:lang w:val="en-GB"/>
        </w:rPr>
      </w:pPr>
    </w:p>
    <w:p w14:paraId="2B3FC413" w14:textId="77777777" w:rsidR="00FA3B46" w:rsidRPr="00CE0135" w:rsidRDefault="00FA3B46" w:rsidP="00FA3B46">
      <w:pPr>
        <w:pStyle w:val="Body"/>
        <w:spacing w:after="0"/>
        <w:rPr>
          <w:lang w:val="en-GB"/>
        </w:rPr>
      </w:pPr>
      <w:r w:rsidRPr="00CE0135">
        <w:rPr>
          <w:b/>
          <w:bCs/>
          <w:sz w:val="24"/>
          <w:szCs w:val="24"/>
          <w:lang w:val="en-GB"/>
        </w:rPr>
        <w:t>Booking terms</w:t>
      </w:r>
    </w:p>
    <w:p w14:paraId="4851E0E6" w14:textId="44EDE609" w:rsidR="00FA3B46" w:rsidRDefault="00FA3B46" w:rsidP="00FA3B46">
      <w:pPr>
        <w:pStyle w:val="NoSpacing"/>
        <w:numPr>
          <w:ilvl w:val="0"/>
          <w:numId w:val="2"/>
        </w:numPr>
        <w:ind w:left="284" w:hanging="284"/>
        <w:rPr>
          <w:sz w:val="20"/>
          <w:szCs w:val="20"/>
          <w:lang w:val="en-GB"/>
        </w:rPr>
      </w:pPr>
      <w:r w:rsidRPr="00CE0135">
        <w:rPr>
          <w:sz w:val="20"/>
          <w:szCs w:val="20"/>
          <w:lang w:val="en-GB"/>
        </w:rPr>
        <w:t>Once a provisional booking has been made, an invoice will be issued in line with the table below.</w:t>
      </w:r>
    </w:p>
    <w:p w14:paraId="759ED03E" w14:textId="010C9222" w:rsidR="009723AB" w:rsidRPr="00714BEF" w:rsidRDefault="009723AB" w:rsidP="00FA3B46">
      <w:pPr>
        <w:pStyle w:val="NoSpacing"/>
        <w:numPr>
          <w:ilvl w:val="0"/>
          <w:numId w:val="2"/>
        </w:numPr>
        <w:ind w:left="284" w:hanging="284"/>
        <w:rPr>
          <w:sz w:val="20"/>
          <w:szCs w:val="20"/>
          <w:highlight w:val="yellow"/>
          <w:lang w:val="en-GB"/>
        </w:rPr>
      </w:pPr>
      <w:r w:rsidRPr="00714BEF">
        <w:rPr>
          <w:sz w:val="20"/>
          <w:szCs w:val="20"/>
          <w:highlight w:val="yellow"/>
          <w:lang w:val="en-GB"/>
        </w:rPr>
        <w:t xml:space="preserve">Prior to the provisional invoice being issued a </w:t>
      </w:r>
      <w:r w:rsidR="00714BEF" w:rsidRPr="00714BEF">
        <w:rPr>
          <w:sz w:val="20"/>
          <w:szCs w:val="20"/>
          <w:highlight w:val="yellow"/>
          <w:lang w:val="en-GB"/>
        </w:rPr>
        <w:t>non-re</w:t>
      </w:r>
      <w:r w:rsidR="00F72705">
        <w:rPr>
          <w:sz w:val="20"/>
          <w:szCs w:val="20"/>
          <w:highlight w:val="yellow"/>
          <w:lang w:val="en-GB"/>
        </w:rPr>
        <w:t>fundable holding deposit of £500</w:t>
      </w:r>
      <w:r w:rsidR="00714BEF" w:rsidRPr="00714BEF">
        <w:rPr>
          <w:sz w:val="20"/>
          <w:szCs w:val="20"/>
          <w:highlight w:val="yellow"/>
          <w:lang w:val="en-GB"/>
        </w:rPr>
        <w:t xml:space="preserve"> may be paid.  However, a full deposit of 25% of final invoice must be paid within 6 months of arrival date or if another party wishes to book the same dates.</w:t>
      </w:r>
    </w:p>
    <w:p w14:paraId="082DA2C9" w14:textId="77777777" w:rsidR="00FA3B46" w:rsidRPr="00CE0135" w:rsidRDefault="00FA3B46" w:rsidP="00FA3B46">
      <w:pPr>
        <w:pStyle w:val="NoSpacing"/>
        <w:numPr>
          <w:ilvl w:val="0"/>
          <w:numId w:val="2"/>
        </w:numPr>
        <w:ind w:left="284" w:hanging="284"/>
        <w:rPr>
          <w:sz w:val="20"/>
          <w:szCs w:val="20"/>
          <w:lang w:val="en-GB"/>
        </w:rPr>
      </w:pPr>
      <w:r w:rsidRPr="00CE0135">
        <w:rPr>
          <w:sz w:val="20"/>
          <w:szCs w:val="20"/>
          <w:lang w:val="en-GB"/>
        </w:rPr>
        <w:t>A booking becomes “firm” after Kepplewray are in receipt of the first invoice payment.  This will include both residential and activity costs.  Until such time as the payment is received, Kepplewray can explore any/all opportunities with other potential customers</w:t>
      </w:r>
    </w:p>
    <w:p w14:paraId="59CABA95" w14:textId="77777777" w:rsidR="00FA3B46" w:rsidRPr="00CE0135" w:rsidRDefault="00FA3B46" w:rsidP="00FA3B46">
      <w:pPr>
        <w:pStyle w:val="NoSpacing"/>
        <w:ind w:left="567"/>
        <w:rPr>
          <w:sz w:val="20"/>
          <w:szCs w:val="20"/>
          <w:lang w:val="en-GB"/>
        </w:rPr>
      </w:pPr>
    </w:p>
    <w:tbl>
      <w:tblPr>
        <w:tblStyle w:val="TableGrid"/>
        <w:tblW w:w="10206" w:type="dxa"/>
        <w:tblInd w:w="279" w:type="dxa"/>
        <w:tblLook w:val="04A0" w:firstRow="1" w:lastRow="0" w:firstColumn="1" w:lastColumn="0" w:noHBand="0" w:noVBand="1"/>
      </w:tblPr>
      <w:tblGrid>
        <w:gridCol w:w="2551"/>
        <w:gridCol w:w="3544"/>
        <w:gridCol w:w="4111"/>
      </w:tblGrid>
      <w:tr w:rsidR="00FA3B46" w:rsidRPr="00CE0135" w14:paraId="0FB064C2" w14:textId="77777777" w:rsidTr="00246E83">
        <w:tc>
          <w:tcPr>
            <w:tcW w:w="2551" w:type="dxa"/>
          </w:tcPr>
          <w:p w14:paraId="5164BD7F"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n-GB"/>
              </w:rPr>
            </w:pPr>
            <w:r w:rsidRPr="00CE0135">
              <w:rPr>
                <w:b/>
                <w:sz w:val="20"/>
                <w:szCs w:val="20"/>
                <w:lang w:val="en-GB"/>
              </w:rPr>
              <w:t>Provisional booking placed</w:t>
            </w:r>
          </w:p>
        </w:tc>
        <w:tc>
          <w:tcPr>
            <w:tcW w:w="3544" w:type="dxa"/>
          </w:tcPr>
          <w:p w14:paraId="20C68309"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n-GB"/>
              </w:rPr>
            </w:pPr>
            <w:r w:rsidRPr="00CE0135">
              <w:rPr>
                <w:b/>
                <w:sz w:val="20"/>
                <w:szCs w:val="20"/>
                <w:lang w:val="en-GB"/>
              </w:rPr>
              <w:t>Deposit</w:t>
            </w:r>
          </w:p>
        </w:tc>
        <w:tc>
          <w:tcPr>
            <w:tcW w:w="4111" w:type="dxa"/>
          </w:tcPr>
          <w:p w14:paraId="7A9DB833"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lang w:val="en-GB"/>
              </w:rPr>
            </w:pPr>
            <w:r w:rsidRPr="00CE0135">
              <w:rPr>
                <w:b/>
                <w:sz w:val="20"/>
                <w:szCs w:val="20"/>
                <w:lang w:val="en-GB"/>
              </w:rPr>
              <w:t>Balance</w:t>
            </w:r>
          </w:p>
        </w:tc>
      </w:tr>
      <w:tr w:rsidR="00FA3B46" w:rsidRPr="00CE0135" w14:paraId="28BE3A3C" w14:textId="77777777" w:rsidTr="00246E83">
        <w:tc>
          <w:tcPr>
            <w:tcW w:w="2551" w:type="dxa"/>
          </w:tcPr>
          <w:p w14:paraId="7D160D10"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Two months or more before arrival</w:t>
            </w:r>
          </w:p>
        </w:tc>
        <w:tc>
          <w:tcPr>
            <w:tcW w:w="3544" w:type="dxa"/>
          </w:tcPr>
          <w:p w14:paraId="52000D8E"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25% of projected final invoice to be paid within 28 days of provisional booking to make booking firm</w:t>
            </w:r>
          </w:p>
        </w:tc>
        <w:tc>
          <w:tcPr>
            <w:tcW w:w="4111" w:type="dxa"/>
          </w:tcPr>
          <w:p w14:paraId="6714EC68"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Remaining balance of projected final invoice to be paid at least 28 days before arrival</w:t>
            </w:r>
          </w:p>
        </w:tc>
      </w:tr>
      <w:tr w:rsidR="00FA3B46" w:rsidRPr="00CE0135" w14:paraId="1F06F177" w14:textId="77777777" w:rsidTr="00246E83">
        <w:tc>
          <w:tcPr>
            <w:tcW w:w="2551" w:type="dxa"/>
          </w:tcPr>
          <w:p w14:paraId="24CCCB38"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Less than two months and more than 28 days before arrival</w:t>
            </w:r>
          </w:p>
        </w:tc>
        <w:tc>
          <w:tcPr>
            <w:tcW w:w="3544" w:type="dxa"/>
          </w:tcPr>
          <w:p w14:paraId="5F9CD864"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Not applicable</w:t>
            </w:r>
          </w:p>
        </w:tc>
        <w:tc>
          <w:tcPr>
            <w:tcW w:w="4111" w:type="dxa"/>
          </w:tcPr>
          <w:p w14:paraId="1F26653F"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Full amount of projected final invoice to be paid within 28 days of booking</w:t>
            </w:r>
          </w:p>
        </w:tc>
      </w:tr>
      <w:tr w:rsidR="00FA3B46" w:rsidRPr="00CE0135" w14:paraId="7C7C65FE" w14:textId="77777777" w:rsidTr="00246E83">
        <w:tc>
          <w:tcPr>
            <w:tcW w:w="2551" w:type="dxa"/>
          </w:tcPr>
          <w:p w14:paraId="686A11F5"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Less than 28 days before arrival</w:t>
            </w:r>
          </w:p>
        </w:tc>
        <w:tc>
          <w:tcPr>
            <w:tcW w:w="3544" w:type="dxa"/>
          </w:tcPr>
          <w:p w14:paraId="483FD8E4"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Not applicable</w:t>
            </w:r>
          </w:p>
        </w:tc>
        <w:tc>
          <w:tcPr>
            <w:tcW w:w="4111" w:type="dxa"/>
          </w:tcPr>
          <w:p w14:paraId="54708A74" w14:textId="77777777" w:rsidR="00FA3B46" w:rsidRPr="00CE0135" w:rsidRDefault="00FA3B46" w:rsidP="00246E83">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rPr>
            </w:pPr>
            <w:r w:rsidRPr="00CE0135">
              <w:rPr>
                <w:sz w:val="20"/>
                <w:szCs w:val="20"/>
                <w:lang w:val="en-GB"/>
              </w:rPr>
              <w:t>Full amount of projected final invoice to be paid by next working day</w:t>
            </w:r>
          </w:p>
        </w:tc>
      </w:tr>
    </w:tbl>
    <w:p w14:paraId="4B61CA04" w14:textId="77777777" w:rsidR="00FA3B46" w:rsidRPr="00CE0135" w:rsidRDefault="00FA3B46" w:rsidP="00FA3B46">
      <w:pPr>
        <w:pStyle w:val="NoSpacing"/>
        <w:ind w:left="567"/>
        <w:jc w:val="center"/>
        <w:rPr>
          <w:sz w:val="20"/>
          <w:szCs w:val="20"/>
          <w:lang w:val="en-GB"/>
        </w:rPr>
      </w:pPr>
    </w:p>
    <w:p w14:paraId="018FE854" w14:textId="77777777" w:rsidR="00FA3B46" w:rsidRPr="00CE0135" w:rsidRDefault="00FA3B46" w:rsidP="00FA3B46">
      <w:pPr>
        <w:pStyle w:val="NoSpacing"/>
        <w:numPr>
          <w:ilvl w:val="0"/>
          <w:numId w:val="2"/>
        </w:numPr>
        <w:ind w:left="284" w:hanging="284"/>
        <w:rPr>
          <w:sz w:val="20"/>
          <w:szCs w:val="20"/>
          <w:lang w:val="en-GB"/>
        </w:rPr>
      </w:pPr>
      <w:r w:rsidRPr="00CE0135">
        <w:rPr>
          <w:sz w:val="20"/>
          <w:szCs w:val="20"/>
          <w:lang w:val="en-GB"/>
        </w:rPr>
        <w:t xml:space="preserve">If any invoice remains unsettled prior to arrival, Kepplewray reserve the right to refuse access to the </w:t>
      </w:r>
      <w:r>
        <w:rPr>
          <w:sz w:val="20"/>
          <w:szCs w:val="20"/>
          <w:lang w:val="en-GB"/>
        </w:rPr>
        <w:t>c</w:t>
      </w:r>
      <w:r w:rsidRPr="00CE0135">
        <w:rPr>
          <w:sz w:val="20"/>
          <w:szCs w:val="20"/>
          <w:lang w:val="en-GB"/>
        </w:rPr>
        <w:t>entre.</w:t>
      </w:r>
    </w:p>
    <w:p w14:paraId="08D08F13" w14:textId="77777777" w:rsidR="00FA3B46" w:rsidRPr="00CE0135" w:rsidRDefault="00FA3B46" w:rsidP="00FA3B46">
      <w:pPr>
        <w:pStyle w:val="NoSpacing"/>
        <w:ind w:left="567"/>
        <w:rPr>
          <w:sz w:val="20"/>
          <w:szCs w:val="20"/>
          <w:lang w:val="en-GB"/>
        </w:rPr>
      </w:pPr>
    </w:p>
    <w:p w14:paraId="440D73FE" w14:textId="77777777" w:rsidR="00FA3B46" w:rsidRPr="00CE0135" w:rsidRDefault="00FA3B46" w:rsidP="00FA3B46">
      <w:pPr>
        <w:pStyle w:val="Body"/>
        <w:spacing w:after="0"/>
        <w:rPr>
          <w:lang w:val="en-GB"/>
        </w:rPr>
      </w:pPr>
      <w:r w:rsidRPr="00CE0135">
        <w:rPr>
          <w:b/>
          <w:bCs/>
          <w:sz w:val="24"/>
          <w:szCs w:val="24"/>
          <w:lang w:val="en-GB"/>
        </w:rPr>
        <w:t>Cancellation terms</w:t>
      </w:r>
    </w:p>
    <w:p w14:paraId="53279D11" w14:textId="77777777" w:rsidR="00FA3B46" w:rsidRPr="00CE0135" w:rsidRDefault="00FA3B46" w:rsidP="00FA3B46">
      <w:pPr>
        <w:pStyle w:val="ListParagraph"/>
        <w:numPr>
          <w:ilvl w:val="0"/>
          <w:numId w:val="2"/>
        </w:numPr>
        <w:spacing w:after="0"/>
        <w:ind w:left="284" w:hanging="284"/>
        <w:jc w:val="both"/>
        <w:rPr>
          <w:sz w:val="20"/>
          <w:szCs w:val="20"/>
          <w:lang w:val="en-GB"/>
        </w:rPr>
      </w:pPr>
      <w:r w:rsidRPr="00CE0135">
        <w:rPr>
          <w:sz w:val="20"/>
          <w:szCs w:val="20"/>
          <w:lang w:val="en-GB"/>
        </w:rPr>
        <w:t>All Guests are advised to take out cancellation insurance at or before time of booking.</w:t>
      </w:r>
    </w:p>
    <w:p w14:paraId="31C189C4" w14:textId="77777777" w:rsidR="00FA3B46" w:rsidRDefault="00FA3B46" w:rsidP="00FA3B46">
      <w:pPr>
        <w:pStyle w:val="ListParagraph"/>
        <w:numPr>
          <w:ilvl w:val="0"/>
          <w:numId w:val="2"/>
        </w:numPr>
        <w:ind w:left="284" w:hanging="284"/>
        <w:jc w:val="both"/>
        <w:rPr>
          <w:sz w:val="20"/>
          <w:szCs w:val="20"/>
          <w:lang w:val="en-GB"/>
        </w:rPr>
      </w:pPr>
      <w:r w:rsidRPr="005B518A">
        <w:rPr>
          <w:sz w:val="20"/>
          <w:szCs w:val="20"/>
          <w:lang w:val="en-GB"/>
        </w:rPr>
        <w:t>Kepplewray recognises that it can be difficult to know exact numbers of large groups in advance.  The sooner you inform Kepplewray of a change of numbers, the more likely it is that Kepplewray can accommodate the change.</w:t>
      </w:r>
    </w:p>
    <w:p w14:paraId="68CEEFF4" w14:textId="31F56B41" w:rsidR="00FA3B46" w:rsidRDefault="00FA3B46" w:rsidP="00FA3B46">
      <w:pPr>
        <w:pStyle w:val="ListParagraph"/>
        <w:numPr>
          <w:ilvl w:val="0"/>
          <w:numId w:val="2"/>
        </w:numPr>
        <w:ind w:left="284" w:hanging="284"/>
        <w:jc w:val="both"/>
        <w:rPr>
          <w:sz w:val="20"/>
          <w:szCs w:val="20"/>
          <w:lang w:val="en-GB"/>
        </w:rPr>
      </w:pPr>
      <w:r w:rsidRPr="005B518A">
        <w:rPr>
          <w:sz w:val="20"/>
          <w:szCs w:val="20"/>
          <w:lang w:val="en-GB"/>
        </w:rPr>
        <w:t>The table below shows the standard cancellation costs after a firm booking has been confirmed.  Should Kepplewray be able to fill cancelled places from another group these costs may be reduced:</w:t>
      </w:r>
    </w:p>
    <w:p w14:paraId="2F205CD4" w14:textId="77777777" w:rsidR="00FA3B46" w:rsidRPr="005B518A" w:rsidRDefault="00FA3B46" w:rsidP="00FA3B46">
      <w:pPr>
        <w:pStyle w:val="ListParagraph"/>
        <w:ind w:left="284"/>
        <w:jc w:val="both"/>
        <w:rPr>
          <w:sz w:val="20"/>
          <w:szCs w:val="20"/>
          <w:lang w:val="en-GB"/>
        </w:rPr>
      </w:pPr>
    </w:p>
    <w:tbl>
      <w:tblPr>
        <w:tblStyle w:val="TableGrid"/>
        <w:tblW w:w="10206" w:type="dxa"/>
        <w:tblInd w:w="279" w:type="dxa"/>
        <w:tblLook w:val="04A0" w:firstRow="1" w:lastRow="0" w:firstColumn="1" w:lastColumn="0" w:noHBand="0" w:noVBand="1"/>
      </w:tblPr>
      <w:tblGrid>
        <w:gridCol w:w="2268"/>
        <w:gridCol w:w="4536"/>
        <w:gridCol w:w="3402"/>
      </w:tblGrid>
      <w:tr w:rsidR="00FA3B46" w:rsidRPr="00CE0135" w14:paraId="6A49F94E" w14:textId="77777777" w:rsidTr="00246E83">
        <w:tc>
          <w:tcPr>
            <w:tcW w:w="2268" w:type="dxa"/>
          </w:tcPr>
          <w:p w14:paraId="65D855FB"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b/>
                <w:sz w:val="20"/>
                <w:szCs w:val="20"/>
                <w:lang w:val="en-GB"/>
              </w:rPr>
            </w:pPr>
            <w:r w:rsidRPr="00CE0135">
              <w:rPr>
                <w:b/>
                <w:sz w:val="20"/>
                <w:szCs w:val="20"/>
                <w:lang w:val="en-GB"/>
              </w:rPr>
              <w:lastRenderedPageBreak/>
              <w:t>Places cancelled</w:t>
            </w:r>
          </w:p>
        </w:tc>
        <w:tc>
          <w:tcPr>
            <w:tcW w:w="4536" w:type="dxa"/>
          </w:tcPr>
          <w:p w14:paraId="37675F11"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0"/>
                <w:szCs w:val="20"/>
                <w:lang w:val="en-GB"/>
              </w:rPr>
            </w:pPr>
            <w:r w:rsidRPr="00CE0135">
              <w:rPr>
                <w:b/>
                <w:sz w:val="20"/>
                <w:szCs w:val="20"/>
                <w:lang w:val="en-GB"/>
              </w:rPr>
              <w:t>Time of cancellation</w:t>
            </w:r>
          </w:p>
        </w:tc>
        <w:tc>
          <w:tcPr>
            <w:tcW w:w="3402" w:type="dxa"/>
          </w:tcPr>
          <w:p w14:paraId="13B6E3B3"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b/>
                <w:sz w:val="20"/>
                <w:szCs w:val="20"/>
                <w:lang w:val="en-GB"/>
              </w:rPr>
            </w:pPr>
            <w:r w:rsidRPr="00CE0135">
              <w:rPr>
                <w:b/>
                <w:sz w:val="20"/>
                <w:szCs w:val="20"/>
                <w:lang w:val="en-GB"/>
              </w:rPr>
              <w:t>Cost of cancellation</w:t>
            </w:r>
          </w:p>
        </w:tc>
      </w:tr>
      <w:tr w:rsidR="00FA3B46" w:rsidRPr="00CE0135" w14:paraId="412C0F5A" w14:textId="77777777" w:rsidTr="00246E83">
        <w:tc>
          <w:tcPr>
            <w:tcW w:w="2268" w:type="dxa"/>
          </w:tcPr>
          <w:p w14:paraId="32EE16C7"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Less than 10%</w:t>
            </w:r>
          </w:p>
        </w:tc>
        <w:tc>
          <w:tcPr>
            <w:tcW w:w="4536" w:type="dxa"/>
          </w:tcPr>
          <w:p w14:paraId="72ECAA47"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More than 3 months before arrival</w:t>
            </w:r>
          </w:p>
        </w:tc>
        <w:tc>
          <w:tcPr>
            <w:tcW w:w="3402" w:type="dxa"/>
          </w:tcPr>
          <w:p w14:paraId="7C4D6BC3"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No cost</w:t>
            </w:r>
          </w:p>
        </w:tc>
      </w:tr>
      <w:tr w:rsidR="00FA3B46" w:rsidRPr="00CE0135" w14:paraId="244B1614" w14:textId="77777777" w:rsidTr="00246E83">
        <w:tc>
          <w:tcPr>
            <w:tcW w:w="2268" w:type="dxa"/>
          </w:tcPr>
          <w:p w14:paraId="5255BEBE"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 xml:space="preserve">Less than 10% </w:t>
            </w:r>
          </w:p>
        </w:tc>
        <w:tc>
          <w:tcPr>
            <w:tcW w:w="4536" w:type="dxa"/>
          </w:tcPr>
          <w:p w14:paraId="3E837111"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Less than 3 months and up to 28 days before arrival</w:t>
            </w:r>
          </w:p>
        </w:tc>
        <w:tc>
          <w:tcPr>
            <w:tcW w:w="3402" w:type="dxa"/>
          </w:tcPr>
          <w:p w14:paraId="53955E2F"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10% of the cost of places cancelled</w:t>
            </w:r>
          </w:p>
        </w:tc>
      </w:tr>
      <w:tr w:rsidR="00FA3B46" w:rsidRPr="00CE0135" w14:paraId="10DF7776" w14:textId="77777777" w:rsidTr="00246E83">
        <w:tc>
          <w:tcPr>
            <w:tcW w:w="2268" w:type="dxa"/>
          </w:tcPr>
          <w:p w14:paraId="6F9AD168"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10%-100%</w:t>
            </w:r>
          </w:p>
        </w:tc>
        <w:tc>
          <w:tcPr>
            <w:tcW w:w="4536" w:type="dxa"/>
          </w:tcPr>
          <w:p w14:paraId="21608250"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Pr>
                <w:sz w:val="20"/>
                <w:szCs w:val="20"/>
                <w:lang w:val="en-GB"/>
              </w:rPr>
              <w:t>Less</w:t>
            </w:r>
            <w:r w:rsidRPr="00CE0135">
              <w:rPr>
                <w:sz w:val="20"/>
                <w:szCs w:val="20"/>
                <w:lang w:val="en-GB"/>
              </w:rPr>
              <w:t xml:space="preserve"> than 3 months before arrival</w:t>
            </w:r>
          </w:p>
        </w:tc>
        <w:tc>
          <w:tcPr>
            <w:tcW w:w="3402" w:type="dxa"/>
          </w:tcPr>
          <w:p w14:paraId="0E73F089"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25% of the cost of places cancelled</w:t>
            </w:r>
          </w:p>
        </w:tc>
      </w:tr>
      <w:tr w:rsidR="00FA3B46" w:rsidRPr="00CE0135" w14:paraId="72AA575A" w14:textId="77777777" w:rsidTr="00246E83">
        <w:tc>
          <w:tcPr>
            <w:tcW w:w="2268" w:type="dxa"/>
          </w:tcPr>
          <w:p w14:paraId="67F6AC7A"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sz w:val="20"/>
                <w:szCs w:val="20"/>
                <w:lang w:val="en-GB"/>
              </w:rPr>
            </w:pPr>
            <w:r w:rsidRPr="00CE0135">
              <w:rPr>
                <w:sz w:val="20"/>
                <w:szCs w:val="20"/>
                <w:lang w:val="en-GB"/>
              </w:rPr>
              <w:t>Any</w:t>
            </w:r>
          </w:p>
        </w:tc>
        <w:tc>
          <w:tcPr>
            <w:tcW w:w="4536" w:type="dxa"/>
          </w:tcPr>
          <w:p w14:paraId="7D43B083"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Within 28 days of arrival</w:t>
            </w:r>
          </w:p>
        </w:tc>
        <w:tc>
          <w:tcPr>
            <w:tcW w:w="3402" w:type="dxa"/>
          </w:tcPr>
          <w:p w14:paraId="28D79CE2" w14:textId="77777777" w:rsidR="00FA3B46" w:rsidRPr="00CE0135" w:rsidRDefault="00FA3B46" w:rsidP="00246E8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sz w:val="20"/>
                <w:szCs w:val="20"/>
                <w:lang w:val="en-GB"/>
              </w:rPr>
            </w:pPr>
            <w:r w:rsidRPr="00CE0135">
              <w:rPr>
                <w:sz w:val="20"/>
                <w:szCs w:val="20"/>
                <w:lang w:val="en-GB"/>
              </w:rPr>
              <w:t>100% of cost of places cancelled</w:t>
            </w:r>
          </w:p>
        </w:tc>
      </w:tr>
    </w:tbl>
    <w:p w14:paraId="0BE5FBF4" w14:textId="77777777" w:rsidR="00FA3B46" w:rsidRPr="005B518A" w:rsidRDefault="00FA3B46" w:rsidP="00FA3B46">
      <w:pPr>
        <w:widowControl w:val="0"/>
        <w:rPr>
          <w:sz w:val="20"/>
          <w:szCs w:val="20"/>
        </w:rPr>
      </w:pPr>
    </w:p>
    <w:p w14:paraId="10FF749E" w14:textId="77777777" w:rsidR="00FA3B46" w:rsidRPr="005B518A" w:rsidRDefault="00FA3B46" w:rsidP="00FA3B46">
      <w:pPr>
        <w:pStyle w:val="NoSpacing"/>
        <w:rPr>
          <w:sz w:val="24"/>
          <w:szCs w:val="24"/>
          <w:lang w:val="en-GB"/>
        </w:rPr>
      </w:pPr>
      <w:r w:rsidRPr="005B518A">
        <w:rPr>
          <w:b/>
          <w:bCs/>
          <w:sz w:val="24"/>
          <w:szCs w:val="24"/>
          <w:lang w:val="en-GB"/>
        </w:rPr>
        <w:t>Occupancy</w:t>
      </w:r>
    </w:p>
    <w:p w14:paraId="332994FC" w14:textId="77777777" w:rsidR="00FA3B46" w:rsidRPr="005B518A" w:rsidRDefault="00FA3B46" w:rsidP="00FA3B46">
      <w:pPr>
        <w:pStyle w:val="NoSpacing"/>
        <w:numPr>
          <w:ilvl w:val="0"/>
          <w:numId w:val="3"/>
        </w:numPr>
        <w:ind w:left="284" w:hanging="284"/>
        <w:jc w:val="both"/>
        <w:rPr>
          <w:sz w:val="20"/>
          <w:szCs w:val="20"/>
          <w:lang w:val="en-GB"/>
        </w:rPr>
      </w:pPr>
      <w:r w:rsidRPr="005B518A">
        <w:rPr>
          <w:sz w:val="20"/>
          <w:szCs w:val="20"/>
          <w:lang w:val="en-GB"/>
        </w:rPr>
        <w:t>The Guest agrees to use the property solely for the purpose of a temporary holiday residence and agrees not to:</w:t>
      </w:r>
    </w:p>
    <w:p w14:paraId="5D455B3E" w14:textId="77777777" w:rsidR="00FA3B46" w:rsidRPr="005B518A" w:rsidRDefault="00FA3B46" w:rsidP="00FA3B46">
      <w:pPr>
        <w:pStyle w:val="NoSpacing"/>
        <w:numPr>
          <w:ilvl w:val="3"/>
          <w:numId w:val="5"/>
        </w:numPr>
        <w:ind w:left="567"/>
        <w:jc w:val="both"/>
        <w:rPr>
          <w:sz w:val="20"/>
          <w:szCs w:val="20"/>
          <w:lang w:val="en-GB"/>
        </w:rPr>
      </w:pPr>
      <w:r w:rsidRPr="005B518A">
        <w:rPr>
          <w:sz w:val="20"/>
          <w:szCs w:val="20"/>
          <w:lang w:val="en-GB"/>
        </w:rPr>
        <w:t>use the property for any improper, illegal, or immoral purposes</w:t>
      </w:r>
    </w:p>
    <w:p w14:paraId="48CA2F3E" w14:textId="77777777" w:rsidR="00FA3B46" w:rsidRPr="005B518A" w:rsidRDefault="00FA3B46" w:rsidP="00FA3B46">
      <w:pPr>
        <w:pStyle w:val="NoSpacing"/>
        <w:numPr>
          <w:ilvl w:val="3"/>
          <w:numId w:val="5"/>
        </w:numPr>
        <w:ind w:left="567"/>
        <w:jc w:val="both"/>
        <w:rPr>
          <w:sz w:val="20"/>
          <w:szCs w:val="20"/>
          <w:lang w:val="en-GB"/>
        </w:rPr>
      </w:pPr>
      <w:r w:rsidRPr="005B518A">
        <w:rPr>
          <w:sz w:val="20"/>
          <w:szCs w:val="20"/>
          <w:lang w:val="en-GB"/>
        </w:rPr>
        <w:t xml:space="preserve">to sub-let the property </w:t>
      </w:r>
    </w:p>
    <w:p w14:paraId="0F832F93" w14:textId="77777777" w:rsidR="00FA3B46" w:rsidRPr="005B518A" w:rsidRDefault="00FA3B46" w:rsidP="00FA3B46">
      <w:pPr>
        <w:pStyle w:val="NoSpacing"/>
        <w:numPr>
          <w:ilvl w:val="3"/>
          <w:numId w:val="5"/>
        </w:numPr>
        <w:ind w:left="567"/>
        <w:jc w:val="both"/>
        <w:rPr>
          <w:sz w:val="20"/>
          <w:szCs w:val="20"/>
          <w:lang w:val="en-GB"/>
        </w:rPr>
      </w:pPr>
      <w:r w:rsidRPr="005B518A">
        <w:rPr>
          <w:sz w:val="20"/>
          <w:szCs w:val="20"/>
          <w:lang w:val="en-GB"/>
        </w:rPr>
        <w:t>cause (nor allow any guests or visitors to cause) any nuisance, annoyance or disturbance to neighbours, or to other visitors</w:t>
      </w:r>
    </w:p>
    <w:p w14:paraId="36C4C9E8" w14:textId="77777777" w:rsidR="00FA3B46" w:rsidRPr="005B518A" w:rsidRDefault="00FA3B46" w:rsidP="00FA3B46">
      <w:pPr>
        <w:pStyle w:val="NoSpacing"/>
        <w:numPr>
          <w:ilvl w:val="3"/>
          <w:numId w:val="5"/>
        </w:numPr>
        <w:ind w:left="567"/>
        <w:jc w:val="both"/>
        <w:rPr>
          <w:sz w:val="20"/>
          <w:szCs w:val="20"/>
          <w:lang w:val="en-GB"/>
        </w:rPr>
      </w:pPr>
      <w:r w:rsidRPr="005B518A">
        <w:rPr>
          <w:sz w:val="20"/>
          <w:szCs w:val="20"/>
          <w:lang w:val="en-GB"/>
        </w:rPr>
        <w:t>keep pets in the property (other than assistance dogs by pre-agreement).</w:t>
      </w:r>
    </w:p>
    <w:p w14:paraId="3682A944" w14:textId="77777777" w:rsidR="00FA3B46" w:rsidRPr="005B518A" w:rsidRDefault="00FA3B46" w:rsidP="00FA3B46">
      <w:pPr>
        <w:pStyle w:val="NoSpacing"/>
        <w:numPr>
          <w:ilvl w:val="0"/>
          <w:numId w:val="6"/>
        </w:numPr>
        <w:ind w:left="284" w:hanging="284"/>
        <w:jc w:val="both"/>
        <w:rPr>
          <w:sz w:val="20"/>
          <w:szCs w:val="20"/>
          <w:lang w:val="en-GB"/>
        </w:rPr>
      </w:pPr>
      <w:r w:rsidRPr="005B518A">
        <w:rPr>
          <w:sz w:val="20"/>
          <w:szCs w:val="20"/>
          <w:lang w:val="en-GB"/>
        </w:rPr>
        <w:t>All vehicles including motorbikes/cycles must be parked in the Kepplewray car park and may not be taken indoors or off road on the Kepplewray site.</w:t>
      </w:r>
    </w:p>
    <w:p w14:paraId="4DA46354" w14:textId="77777777" w:rsidR="00FA3B46" w:rsidRPr="005B518A" w:rsidRDefault="00FA3B46" w:rsidP="00FA3B46">
      <w:pPr>
        <w:pStyle w:val="NoSpacing"/>
        <w:numPr>
          <w:ilvl w:val="0"/>
          <w:numId w:val="6"/>
        </w:numPr>
        <w:ind w:left="284" w:hanging="284"/>
        <w:jc w:val="both"/>
        <w:rPr>
          <w:sz w:val="20"/>
          <w:szCs w:val="20"/>
          <w:lang w:val="en-GB"/>
        </w:rPr>
      </w:pPr>
      <w:r w:rsidRPr="005B518A">
        <w:rPr>
          <w:sz w:val="20"/>
          <w:szCs w:val="20"/>
          <w:lang w:val="en-GB"/>
        </w:rPr>
        <w:t>The onsite speed limit of 5mph must be strictly observed.</w:t>
      </w:r>
    </w:p>
    <w:p w14:paraId="36836E4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Unacceptable behaviour may lead to offenders being asked to leave.</w:t>
      </w:r>
    </w:p>
    <w:p w14:paraId="6B2953D5"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Guest group organisers/leaders are responsible for the supervision and good behaviour of all members of their group at all times.</w:t>
      </w:r>
    </w:p>
    <w:p w14:paraId="2B81F044"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Any guest bringing portable electrical equipment to use at The Kepplewray should ensure that it has a current portable appliance test (PAT) certificate if required.</w:t>
      </w:r>
    </w:p>
    <w:p w14:paraId="32EB2B1C" w14:textId="77777777" w:rsidR="00FA3B46" w:rsidRPr="005B518A" w:rsidRDefault="00FA3B46" w:rsidP="00FA3B46">
      <w:pPr>
        <w:pStyle w:val="NoSpacing"/>
        <w:ind w:left="426"/>
        <w:rPr>
          <w:sz w:val="20"/>
          <w:szCs w:val="20"/>
          <w:lang w:val="en-GB"/>
        </w:rPr>
      </w:pPr>
    </w:p>
    <w:p w14:paraId="02E192D0" w14:textId="77777777" w:rsidR="00FA3B46" w:rsidRPr="005B518A" w:rsidRDefault="00FA3B46" w:rsidP="00FA3B46">
      <w:pPr>
        <w:pStyle w:val="NoSpacing"/>
        <w:rPr>
          <w:sz w:val="24"/>
          <w:szCs w:val="24"/>
          <w:lang w:val="en-GB"/>
        </w:rPr>
      </w:pPr>
      <w:r w:rsidRPr="005B518A">
        <w:rPr>
          <w:b/>
          <w:bCs/>
          <w:sz w:val="24"/>
          <w:szCs w:val="24"/>
          <w:lang w:val="en-GB"/>
        </w:rPr>
        <w:t xml:space="preserve">The Facility </w:t>
      </w:r>
    </w:p>
    <w:p w14:paraId="22C9ED89"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The Guest is expected to take all reasonable care of the property, its furnishings and effects.  Any exceptional cleaning costs necessary will be charged to the Guest at cost.</w:t>
      </w:r>
    </w:p>
    <w:p w14:paraId="37AA6E8C"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 xml:space="preserve">Any furniture moved by the Guest whilst they are at The Kepplewray Centre must be returned to </w:t>
      </w:r>
      <w:proofErr w:type="spellStart"/>
      <w:proofErr w:type="gramStart"/>
      <w:r w:rsidRPr="005B518A">
        <w:rPr>
          <w:sz w:val="20"/>
          <w:szCs w:val="20"/>
          <w:lang w:val="en-GB"/>
        </w:rPr>
        <w:t>it’s</w:t>
      </w:r>
      <w:proofErr w:type="spellEnd"/>
      <w:proofErr w:type="gramEnd"/>
      <w:r w:rsidRPr="005B518A">
        <w:rPr>
          <w:sz w:val="20"/>
          <w:szCs w:val="20"/>
          <w:lang w:val="en-GB"/>
        </w:rPr>
        <w:t xml:space="preserve"> original location prior to departure.</w:t>
      </w:r>
    </w:p>
    <w:p w14:paraId="205FD02C" w14:textId="77777777" w:rsidR="00FA3B46" w:rsidRPr="005B518A" w:rsidRDefault="00FA3B46" w:rsidP="00FA3B46">
      <w:pPr>
        <w:pStyle w:val="NoSpacing"/>
        <w:ind w:left="426"/>
        <w:rPr>
          <w:sz w:val="20"/>
          <w:szCs w:val="20"/>
          <w:lang w:val="en-GB"/>
        </w:rPr>
      </w:pPr>
    </w:p>
    <w:p w14:paraId="16C1DD43" w14:textId="77777777" w:rsidR="00FA3B46" w:rsidRPr="005B518A" w:rsidRDefault="00FA3B46" w:rsidP="00FA3B46">
      <w:pPr>
        <w:pStyle w:val="NoSpacing"/>
        <w:rPr>
          <w:sz w:val="24"/>
          <w:szCs w:val="24"/>
          <w:lang w:val="en-GB"/>
        </w:rPr>
      </w:pPr>
      <w:r w:rsidRPr="005B518A">
        <w:rPr>
          <w:b/>
          <w:bCs/>
          <w:sz w:val="24"/>
          <w:szCs w:val="24"/>
          <w:lang w:val="en-GB"/>
        </w:rPr>
        <w:t>Damage</w:t>
      </w:r>
    </w:p>
    <w:p w14:paraId="26520C7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 xml:space="preserve">In the event of any breakages or damage to the property and/or its contents caused by a Guest, full payment is required for the actual cost of replacement or repair.  </w:t>
      </w:r>
    </w:p>
    <w:p w14:paraId="34B3E7E6"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When damage occurs, either by negligence or deliberate action of a Guest, the Guest agrees to indemnify Kepplewray against any associated losses, including lost income and the sourcing of alternative accommodation should that be required.</w:t>
      </w:r>
    </w:p>
    <w:p w14:paraId="74D439C5" w14:textId="77777777" w:rsidR="00FA3B46" w:rsidRPr="005B518A" w:rsidRDefault="00FA3B46" w:rsidP="00FA3B46">
      <w:pPr>
        <w:pStyle w:val="NoSpacing"/>
        <w:ind w:left="284" w:hanging="284"/>
        <w:jc w:val="both"/>
        <w:rPr>
          <w:b/>
          <w:bCs/>
          <w:sz w:val="20"/>
          <w:szCs w:val="20"/>
          <w:lang w:val="en-GB"/>
        </w:rPr>
      </w:pPr>
    </w:p>
    <w:p w14:paraId="0CB924E5" w14:textId="77777777" w:rsidR="00FA3B46" w:rsidRPr="005B518A" w:rsidRDefault="00FA3B46" w:rsidP="00FA3B46">
      <w:pPr>
        <w:pStyle w:val="NoSpacing"/>
        <w:ind w:left="284" w:hanging="284"/>
        <w:jc w:val="both"/>
        <w:rPr>
          <w:sz w:val="24"/>
          <w:szCs w:val="24"/>
          <w:lang w:val="en-GB"/>
        </w:rPr>
      </w:pPr>
      <w:r w:rsidRPr="005B518A">
        <w:rPr>
          <w:b/>
          <w:bCs/>
          <w:sz w:val="24"/>
          <w:szCs w:val="24"/>
          <w:lang w:val="en-GB"/>
        </w:rPr>
        <w:t xml:space="preserve">Insurances / Liability  </w:t>
      </w:r>
    </w:p>
    <w:p w14:paraId="35C90F14"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 xml:space="preserve">The Kepplewray Centre, its employees and representatives shall not be liable to the Guest(s) or third parties for loss, damage or theft of personal property belonging to guests, either in the property or in/to cars, bicycles or other vehicles left on the property.  Nor shall liability be accepted by Kepplewray for accident or injury to guests, either within the property or outside, arising as a result of activities not supervised by Kepplewray staff.  The Guest is responsible for ensuring that they have appropriate accidental and personal injury insurance cover for their group.  </w:t>
      </w:r>
    </w:p>
    <w:p w14:paraId="7D543A58" w14:textId="77777777" w:rsidR="00FA3B46" w:rsidRPr="005B518A" w:rsidRDefault="00FA3B46" w:rsidP="00FA3B46">
      <w:pPr>
        <w:pStyle w:val="NoSpacing"/>
        <w:ind w:left="284" w:hanging="284"/>
        <w:jc w:val="both"/>
        <w:rPr>
          <w:sz w:val="20"/>
          <w:szCs w:val="20"/>
          <w:lang w:val="en-GB"/>
        </w:rPr>
      </w:pPr>
    </w:p>
    <w:p w14:paraId="234F3822" w14:textId="77777777" w:rsidR="00FA3B46" w:rsidRPr="005B518A" w:rsidRDefault="00FA3B46" w:rsidP="00FA3B46">
      <w:pPr>
        <w:pStyle w:val="NoSpacing"/>
        <w:ind w:left="284" w:hanging="284"/>
        <w:jc w:val="both"/>
        <w:rPr>
          <w:sz w:val="24"/>
          <w:szCs w:val="24"/>
          <w:lang w:val="en-GB"/>
        </w:rPr>
      </w:pPr>
      <w:r w:rsidRPr="005B518A">
        <w:rPr>
          <w:b/>
          <w:bCs/>
          <w:sz w:val="24"/>
          <w:szCs w:val="24"/>
          <w:lang w:val="en-GB"/>
        </w:rPr>
        <w:t xml:space="preserve">Right of Entry  </w:t>
      </w:r>
    </w:p>
    <w:p w14:paraId="3129351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For the undertaking of necessary repairs, maintenance or inspections, Kepplewray staff or their representatives have the right of entry to any part of the property at all reasonable times.  Prior notice will be given to the Guest wherever possible and privacy will be respected at all times.</w:t>
      </w:r>
    </w:p>
    <w:p w14:paraId="14E56FF2" w14:textId="77777777" w:rsidR="00FA3B46" w:rsidRPr="005B518A" w:rsidRDefault="00FA3B46" w:rsidP="00FA3B46">
      <w:pPr>
        <w:pStyle w:val="NoSpacing"/>
        <w:ind w:left="284" w:hanging="284"/>
        <w:jc w:val="both"/>
        <w:rPr>
          <w:sz w:val="20"/>
          <w:szCs w:val="20"/>
          <w:lang w:val="en-GB"/>
        </w:rPr>
      </w:pPr>
    </w:p>
    <w:p w14:paraId="4104552E" w14:textId="77777777" w:rsidR="00FA3B46" w:rsidRPr="005B518A" w:rsidRDefault="00FA3B46" w:rsidP="00FA3B46">
      <w:pPr>
        <w:pStyle w:val="NoSpacing"/>
        <w:ind w:left="284" w:hanging="284"/>
        <w:jc w:val="both"/>
        <w:rPr>
          <w:sz w:val="24"/>
          <w:szCs w:val="24"/>
          <w:lang w:val="en-GB"/>
        </w:rPr>
      </w:pPr>
      <w:r w:rsidRPr="005B518A">
        <w:rPr>
          <w:b/>
          <w:bCs/>
          <w:sz w:val="24"/>
          <w:szCs w:val="24"/>
          <w:lang w:val="en-GB"/>
        </w:rPr>
        <w:t>Personal Information</w:t>
      </w:r>
    </w:p>
    <w:p w14:paraId="5E449D60" w14:textId="77777777" w:rsidR="00FA3B46" w:rsidRPr="005B518A" w:rsidRDefault="00FA3B46" w:rsidP="00FA3B46">
      <w:pPr>
        <w:pStyle w:val="NoSpacing"/>
        <w:numPr>
          <w:ilvl w:val="0"/>
          <w:numId w:val="2"/>
        </w:numPr>
        <w:ind w:left="284" w:hanging="284"/>
        <w:jc w:val="both"/>
        <w:rPr>
          <w:sz w:val="20"/>
          <w:szCs w:val="20"/>
          <w:lang w:val="en-GB"/>
        </w:rPr>
      </w:pPr>
      <w:r w:rsidRPr="005B518A">
        <w:rPr>
          <w:sz w:val="20"/>
          <w:szCs w:val="20"/>
          <w:lang w:val="en-GB"/>
        </w:rPr>
        <w:t>The Kepplewray Centre requires contact, medical and dietary information for individual guests.  This information will be collected using standard Kepplewray Medical forms which should be completed, signed and returned at least two weeks prior to the visit.  This information will be held securely and treated confidentially being used solely for the purposes of ensuring the health and safety of all guests and that any special needs they have are catered for.</w:t>
      </w:r>
    </w:p>
    <w:p w14:paraId="6BC34867" w14:textId="2CC5D0CE" w:rsidR="00BC7404" w:rsidRPr="00FA3B46" w:rsidRDefault="00FA3B46" w:rsidP="009B5DC4">
      <w:pPr>
        <w:pStyle w:val="NoSpacing"/>
        <w:numPr>
          <w:ilvl w:val="0"/>
          <w:numId w:val="2"/>
        </w:numPr>
        <w:ind w:left="284" w:hanging="284"/>
        <w:jc w:val="both"/>
        <w:rPr>
          <w:rFonts w:eastAsia="Times New Roman" w:cstheme="minorHAnsi"/>
          <w:sz w:val="24"/>
          <w:szCs w:val="24"/>
        </w:rPr>
      </w:pPr>
      <w:r w:rsidRPr="00FA3B46">
        <w:rPr>
          <w:sz w:val="20"/>
          <w:szCs w:val="20"/>
          <w:lang w:val="en-GB"/>
        </w:rPr>
        <w:t>Unless otherwise advised Kepplewray reserves the right to record activities either by still photograph or video recording for public relations purposes.  Young people will not be identified when any media is used but Groups should advise the Centre whether they wish to be identified.</w:t>
      </w:r>
    </w:p>
    <w:sectPr w:rsidR="00BC7404" w:rsidRPr="00FA3B46" w:rsidSect="00BC7404">
      <w:head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C962" w14:textId="77777777" w:rsidR="00B45877" w:rsidRDefault="00B45877" w:rsidP="00B45877">
      <w:pPr>
        <w:spacing w:after="0" w:line="240" w:lineRule="auto"/>
      </w:pPr>
      <w:r>
        <w:separator/>
      </w:r>
    </w:p>
  </w:endnote>
  <w:endnote w:type="continuationSeparator" w:id="0">
    <w:p w14:paraId="6C7A7D4C" w14:textId="77777777" w:rsidR="00B45877" w:rsidRDefault="00B45877" w:rsidP="00B4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CA41ED" w:rsidRPr="00CA41ED" w14:paraId="2823C6B4" w14:textId="77777777" w:rsidTr="00CA41ED">
      <w:trPr>
        <w:trHeight w:val="752"/>
      </w:trPr>
      <w:tc>
        <w:tcPr>
          <w:tcW w:w="7366" w:type="dxa"/>
        </w:tcPr>
        <w:p w14:paraId="51F24BC2" w14:textId="77777777" w:rsidR="00CA41ED" w:rsidRPr="00CA41ED" w:rsidRDefault="00CA41ED" w:rsidP="00C824F7">
          <w:pPr>
            <w:pStyle w:val="Footer"/>
            <w:rPr>
              <w:sz w:val="20"/>
              <w:szCs w:val="20"/>
            </w:rPr>
          </w:pPr>
          <w:r w:rsidRPr="00D74526">
            <w:rPr>
              <w:b/>
              <w:bCs/>
              <w:sz w:val="20"/>
              <w:szCs w:val="20"/>
            </w:rPr>
            <w:t>The Kepplewray Centre</w:t>
          </w:r>
          <w:r w:rsidRPr="00CA41ED">
            <w:rPr>
              <w:sz w:val="20"/>
              <w:szCs w:val="20"/>
            </w:rPr>
            <w:t xml:space="preserve">  Broughton in Furness  Cumbria  LA20 6HE</w:t>
          </w:r>
        </w:p>
        <w:p w14:paraId="03CCD8B0" w14:textId="77777777" w:rsidR="00D74526" w:rsidRDefault="00CA41ED" w:rsidP="00C824F7">
          <w:pPr>
            <w:pStyle w:val="Footer"/>
            <w:rPr>
              <w:sz w:val="20"/>
              <w:szCs w:val="20"/>
            </w:rPr>
          </w:pPr>
          <w:r w:rsidRPr="00CA41ED">
            <w:rPr>
              <w:sz w:val="20"/>
              <w:szCs w:val="20"/>
            </w:rPr>
            <w:t xml:space="preserve">Tel:  01229 716936  E-mail:  </w:t>
          </w:r>
          <w:r w:rsidRPr="00D74526">
            <w:rPr>
              <w:sz w:val="20"/>
              <w:szCs w:val="20"/>
            </w:rPr>
            <w:t>stay@kepplewray.org.uk</w:t>
          </w:r>
          <w:r w:rsidRPr="00CA41ED">
            <w:rPr>
              <w:sz w:val="20"/>
              <w:szCs w:val="20"/>
            </w:rPr>
            <w:t xml:space="preserve">  web:  kepplewray.org.uk </w:t>
          </w:r>
        </w:p>
        <w:p w14:paraId="34349849" w14:textId="71C73F1B" w:rsidR="00CA41ED" w:rsidRPr="00CA41ED" w:rsidRDefault="00CA41ED" w:rsidP="00C824F7">
          <w:pPr>
            <w:pStyle w:val="Footer"/>
            <w:rPr>
              <w:sz w:val="20"/>
              <w:szCs w:val="20"/>
            </w:rPr>
          </w:pPr>
          <w:r w:rsidRPr="00CA41ED">
            <w:rPr>
              <w:sz w:val="20"/>
              <w:szCs w:val="20"/>
            </w:rPr>
            <w:t>Charity Number: 1015762</w:t>
          </w:r>
        </w:p>
      </w:tc>
      <w:tc>
        <w:tcPr>
          <w:tcW w:w="3090" w:type="dxa"/>
        </w:tcPr>
        <w:p w14:paraId="4E121E5D" w14:textId="68067353" w:rsidR="00CA41ED" w:rsidRPr="00CA41ED" w:rsidRDefault="00CA41ED" w:rsidP="00CA41ED">
          <w:pPr>
            <w:pStyle w:val="Footer"/>
            <w:jc w:val="right"/>
            <w:rPr>
              <w:sz w:val="20"/>
              <w:szCs w:val="20"/>
            </w:rPr>
          </w:pPr>
          <w:r>
            <w:rPr>
              <w:noProof/>
              <w:lang w:val="en-US"/>
            </w:rPr>
            <w:drawing>
              <wp:inline distT="0" distB="0" distL="0" distR="0" wp14:anchorId="2331AE01" wp14:editId="267A64A8">
                <wp:extent cx="1447165" cy="43725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860" cy="450453"/>
                        </a:xfrm>
                        <a:prstGeom prst="rect">
                          <a:avLst/>
                        </a:prstGeom>
                        <a:noFill/>
                      </pic:spPr>
                    </pic:pic>
                  </a:graphicData>
                </a:graphic>
              </wp:inline>
            </w:drawing>
          </w:r>
        </w:p>
      </w:tc>
    </w:tr>
  </w:tbl>
  <w:p w14:paraId="5D6A8A86" w14:textId="5349B784" w:rsidR="00BC7404" w:rsidRPr="00BC7404" w:rsidRDefault="00BC7404" w:rsidP="00CA41E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E955" w14:textId="77777777" w:rsidR="00B45877" w:rsidRDefault="00B45877" w:rsidP="00B45877">
      <w:pPr>
        <w:spacing w:after="0" w:line="240" w:lineRule="auto"/>
      </w:pPr>
      <w:r>
        <w:separator/>
      </w:r>
    </w:p>
  </w:footnote>
  <w:footnote w:type="continuationSeparator" w:id="0">
    <w:p w14:paraId="58FAE348" w14:textId="77777777" w:rsidR="00B45877" w:rsidRDefault="00B45877" w:rsidP="00B4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C00" w14:textId="193CA556" w:rsidR="00B45877" w:rsidRDefault="00B45877">
    <w:pPr>
      <w:pStyle w:val="Header"/>
    </w:pPr>
  </w:p>
  <w:p w14:paraId="273ABDC5" w14:textId="77777777" w:rsidR="00B45877" w:rsidRDefault="00B45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41ED" w:rsidRPr="00B45877" w14:paraId="34FD4880" w14:textId="77777777" w:rsidTr="00756802">
      <w:tc>
        <w:tcPr>
          <w:tcW w:w="9016" w:type="dxa"/>
        </w:tcPr>
        <w:p w14:paraId="4639DDC2" w14:textId="4E4C401C" w:rsidR="00CA41ED" w:rsidRPr="00CA41ED" w:rsidRDefault="00CA41ED" w:rsidP="00BC7404">
          <w:pPr>
            <w:pStyle w:val="Header"/>
            <w:rPr>
              <w:b/>
              <w:bCs/>
              <w:sz w:val="56"/>
              <w:szCs w:val="56"/>
            </w:rPr>
          </w:pPr>
          <w:r>
            <w:rPr>
              <w:b/>
              <w:bCs/>
              <w:sz w:val="56"/>
              <w:szCs w:val="56"/>
            </w:rPr>
            <w:t>Kepplewray Centre</w:t>
          </w:r>
          <w:r w:rsidRPr="00CA41ED">
            <w:rPr>
              <w:b/>
              <w:bCs/>
              <w:sz w:val="56"/>
              <w:szCs w:val="56"/>
            </w:rPr>
            <w:t xml:space="preserve"> Booking Form</w:t>
          </w:r>
        </w:p>
      </w:tc>
    </w:tr>
  </w:tbl>
  <w:p w14:paraId="03232354" w14:textId="77777777" w:rsidR="00BC7404" w:rsidRDefault="00BC7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83B"/>
    <w:multiLevelType w:val="hybridMultilevel"/>
    <w:tmpl w:val="A55A1BDA"/>
    <w:styleLink w:val="ImportedStyle2"/>
    <w:lvl w:ilvl="0" w:tplc="D2386922">
      <w:start w:val="1"/>
      <w:numFmt w:val="decimal"/>
      <w:lvlText w:val="%1."/>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22E">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C4A8DA">
      <w:start w:val="1"/>
      <w:numFmt w:val="lowerLetter"/>
      <w:lvlText w:val="%3."/>
      <w:lvlJc w:val="left"/>
      <w:pPr>
        <w:ind w:left="214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2706E">
      <w:start w:val="1"/>
      <w:numFmt w:val="lowerLetter"/>
      <w:lvlText w:val="%4."/>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2198A">
      <w:start w:val="1"/>
      <w:numFmt w:val="lowerLetter"/>
      <w:lvlText w:val="%5."/>
      <w:lvlJc w:val="left"/>
      <w:pPr>
        <w:ind w:left="18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A5C00">
      <w:start w:val="1"/>
      <w:numFmt w:val="lowerRoman"/>
      <w:lvlText w:val="%6."/>
      <w:lvlJc w:val="left"/>
      <w:pPr>
        <w:ind w:left="257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C91DC">
      <w:start w:val="1"/>
      <w:numFmt w:val="decimal"/>
      <w:lvlText w:val="%7."/>
      <w:lvlJc w:val="left"/>
      <w:pPr>
        <w:ind w:left="32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FCE652">
      <w:start w:val="1"/>
      <w:numFmt w:val="lowerLetter"/>
      <w:lvlText w:val="%8."/>
      <w:lvlJc w:val="left"/>
      <w:pPr>
        <w:ind w:left="40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43A6A">
      <w:start w:val="1"/>
      <w:numFmt w:val="lowerRoman"/>
      <w:lvlText w:val="%9."/>
      <w:lvlJc w:val="left"/>
      <w:pPr>
        <w:ind w:left="4734"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CB0D4D"/>
    <w:multiLevelType w:val="hybridMultilevel"/>
    <w:tmpl w:val="A55A1BDA"/>
    <w:numStyleLink w:val="ImportedStyle2"/>
  </w:abstractNum>
  <w:abstractNum w:abstractNumId="2" w15:restartNumberingAfterBreak="0">
    <w:nsid w:val="44C04C8F"/>
    <w:multiLevelType w:val="hybridMultilevel"/>
    <w:tmpl w:val="760645C6"/>
    <w:numStyleLink w:val="ImportedStyle1"/>
  </w:abstractNum>
  <w:abstractNum w:abstractNumId="3" w15:restartNumberingAfterBreak="0">
    <w:nsid w:val="78D421B4"/>
    <w:multiLevelType w:val="hybridMultilevel"/>
    <w:tmpl w:val="760645C6"/>
    <w:styleLink w:val="ImportedStyle1"/>
    <w:lvl w:ilvl="0" w:tplc="0F9AFA98">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CE188">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408B8">
      <w:start w:val="1"/>
      <w:numFmt w:val="lowerRoman"/>
      <w:lvlText w:val="%3."/>
      <w:lvlJc w:val="left"/>
      <w:pPr>
        <w:ind w:left="200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143972">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023F2">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0B39E">
      <w:start w:val="1"/>
      <w:numFmt w:val="lowerRoman"/>
      <w:lvlText w:val="%6."/>
      <w:lvlJc w:val="left"/>
      <w:pPr>
        <w:ind w:left="416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8E4E8">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C6711C">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02A82">
      <w:start w:val="1"/>
      <w:numFmt w:val="lowerRoman"/>
      <w:lvlText w:val="%9."/>
      <w:lvlJc w:val="left"/>
      <w:pPr>
        <w:ind w:left="6327"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lvlOverride w:ilvl="0">
      <w:lvl w:ilvl="0" w:tplc="425E5E86">
        <w:start w:val="1"/>
        <w:numFmt w:val="decimal"/>
        <w:lvlText w:val="%1."/>
        <w:lvlJc w:val="left"/>
        <w:pPr>
          <w:ind w:left="567" w:hanging="283"/>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lvlOverride w:ilvl="0">
      <w:startOverride w:val="24"/>
    </w:lvlOverride>
  </w:num>
  <w:num w:numId="4">
    <w:abstractNumId w:val="0"/>
  </w:num>
  <w:num w:numId="5">
    <w:abstractNumId w:val="1"/>
  </w:num>
  <w:num w:numId="6">
    <w:abstractNumId w:val="2"/>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77"/>
    <w:rsid w:val="00303000"/>
    <w:rsid w:val="004E0BB5"/>
    <w:rsid w:val="005257C9"/>
    <w:rsid w:val="006F2B23"/>
    <w:rsid w:val="00714BEF"/>
    <w:rsid w:val="009723AB"/>
    <w:rsid w:val="009B5DC4"/>
    <w:rsid w:val="00B45877"/>
    <w:rsid w:val="00BC7404"/>
    <w:rsid w:val="00CA41ED"/>
    <w:rsid w:val="00D124BE"/>
    <w:rsid w:val="00D65005"/>
    <w:rsid w:val="00D74526"/>
    <w:rsid w:val="00DB0D9E"/>
    <w:rsid w:val="00DE245E"/>
    <w:rsid w:val="00F72705"/>
    <w:rsid w:val="00FA3B46"/>
    <w:rsid w:val="00FB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16378"/>
  <w15:chartTrackingRefBased/>
  <w15:docId w15:val="{7F388197-9996-47DE-951C-E21C8DAA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877"/>
  </w:style>
  <w:style w:type="paragraph" w:styleId="Footer">
    <w:name w:val="footer"/>
    <w:basedOn w:val="Normal"/>
    <w:link w:val="FooterChar"/>
    <w:uiPriority w:val="99"/>
    <w:unhideWhenUsed/>
    <w:rsid w:val="00B45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877"/>
  </w:style>
  <w:style w:type="table" w:styleId="TableGrid">
    <w:name w:val="Table Grid"/>
    <w:basedOn w:val="TableNormal"/>
    <w:uiPriority w:val="59"/>
    <w:rsid w:val="00B4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404"/>
    <w:rPr>
      <w:color w:val="0563C1" w:themeColor="hyperlink"/>
      <w:u w:val="single"/>
    </w:rPr>
  </w:style>
  <w:style w:type="character" w:customStyle="1" w:styleId="UnresolvedMention">
    <w:name w:val="Unresolved Mention"/>
    <w:basedOn w:val="DefaultParagraphFont"/>
    <w:uiPriority w:val="99"/>
    <w:semiHidden/>
    <w:unhideWhenUsed/>
    <w:rsid w:val="00BC7404"/>
    <w:rPr>
      <w:color w:val="605E5C"/>
      <w:shd w:val="clear" w:color="auto" w:fill="E1DFDD"/>
    </w:rPr>
  </w:style>
  <w:style w:type="paragraph" w:customStyle="1" w:styleId="Body">
    <w:name w:val="Body"/>
    <w:rsid w:val="00FA3B4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NoSpacing">
    <w:name w:val="No Spacing"/>
    <w:rsid w:val="00FA3B46"/>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numbering" w:customStyle="1" w:styleId="ImportedStyle1">
    <w:name w:val="Imported Style 1"/>
    <w:rsid w:val="00FA3B46"/>
    <w:pPr>
      <w:numPr>
        <w:numId w:val="1"/>
      </w:numPr>
    </w:pPr>
  </w:style>
  <w:style w:type="paragraph" w:styleId="ListParagraph">
    <w:name w:val="List Paragraph"/>
    <w:rsid w:val="00FA3B4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numbering" w:customStyle="1" w:styleId="ImportedStyle2">
    <w:name w:val="Imported Style 2"/>
    <w:rsid w:val="00FA3B4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Addington</dc:creator>
  <cp:keywords/>
  <dc:description/>
  <cp:lastModifiedBy>Reception</cp:lastModifiedBy>
  <cp:revision>5</cp:revision>
  <cp:lastPrinted>2020-11-13T09:52:00Z</cp:lastPrinted>
  <dcterms:created xsi:type="dcterms:W3CDTF">2021-06-10T15:45:00Z</dcterms:created>
  <dcterms:modified xsi:type="dcterms:W3CDTF">2022-02-17T12:51:00Z</dcterms:modified>
</cp:coreProperties>
</file>